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FF854BC" w14:textId="17EC3BA7" w:rsidR="0061592C" w:rsidRPr="0053482C" w:rsidRDefault="5201FF84" w:rsidP="72757B96">
      <w:pPr>
        <w:spacing w:line="276" w:lineRule="auto"/>
        <w:jc w:val="center"/>
        <w:rPr>
          <w:rFonts w:ascii="Times New Roman" w:eastAsiaTheme="minorEastAsia" w:hAnsi="Times New Roman" w:cs="Times New Roman"/>
          <w:b/>
          <w:bCs/>
          <w:lang w:val="es-ES_tradnl"/>
        </w:rPr>
      </w:pPr>
      <w:r w:rsidRPr="0053482C">
        <w:rPr>
          <w:rFonts w:ascii="Times New Roman" w:eastAsia="Times New Roman" w:hAnsi="Times New Roman" w:cs="Times New Roman"/>
          <w:i/>
          <w:iCs/>
          <w:lang w:val="es-ES_tradnl"/>
        </w:rPr>
        <w:t>Éste es un anuncio de que sus tarifas pueden cambiar. Para más detalles en español</w:t>
      </w:r>
      <w:r w:rsidR="0064036F">
        <w:rPr>
          <w:rFonts w:ascii="Times New Roman" w:eastAsia="Times New Roman" w:hAnsi="Times New Roman" w:cs="Times New Roman"/>
          <w:i/>
          <w:iCs/>
          <w:lang w:val="es-ES_tradnl"/>
        </w:rPr>
        <w:t>,</w:t>
      </w:r>
      <w:r w:rsidR="0064036F">
        <w:rPr>
          <w:rFonts w:ascii="Times New Roman" w:eastAsia="Times New Roman" w:hAnsi="Times New Roman" w:cs="Times New Roman"/>
          <w:i/>
          <w:iCs/>
          <w:lang w:val="es-ES_tradnl"/>
        </w:rPr>
        <w:br/>
      </w:r>
      <w:r w:rsidRPr="0053482C">
        <w:rPr>
          <w:rFonts w:ascii="Times New Roman" w:eastAsia="Times New Roman" w:hAnsi="Times New Roman" w:cs="Times New Roman"/>
          <w:i/>
          <w:iCs/>
          <w:lang w:val="es-ES_tradnl"/>
        </w:rPr>
        <w:t>llame</w:t>
      </w:r>
      <w:r w:rsidR="0064036F">
        <w:rPr>
          <w:rFonts w:ascii="Times New Roman" w:eastAsia="Times New Roman" w:hAnsi="Times New Roman" w:cs="Times New Roman"/>
          <w:i/>
          <w:iCs/>
          <w:lang w:val="es-ES_tradnl"/>
        </w:rPr>
        <w:t xml:space="preserve"> </w:t>
      </w:r>
      <w:r w:rsidRPr="0053482C">
        <w:rPr>
          <w:rFonts w:ascii="Times New Roman" w:eastAsia="Times New Roman" w:hAnsi="Times New Roman" w:cs="Times New Roman"/>
          <w:i/>
          <w:iCs/>
          <w:lang w:val="es-ES_tradnl"/>
        </w:rPr>
        <w:t>al 1-800-311-7343.</w:t>
      </w:r>
      <w:r w:rsidRPr="0053482C">
        <w:rPr>
          <w:rFonts w:ascii="Times New Roman" w:eastAsiaTheme="minorEastAsia" w:hAnsi="Times New Roman" w:cs="Times New Roman"/>
          <w:b/>
          <w:bCs/>
          <w:lang w:val="es-ES_tradnl"/>
        </w:rPr>
        <w:t xml:space="preserve"> </w:t>
      </w:r>
    </w:p>
    <w:p w14:paraId="3D605BB7" w14:textId="454A5733" w:rsidR="0061592C" w:rsidRPr="0053482C" w:rsidRDefault="00EA02DB" w:rsidP="002534D7">
      <w:pPr>
        <w:rPr>
          <w:rFonts w:ascii="Times New Roman" w:hAnsi="Times New Roman" w:cs="Times New Roman"/>
          <w:b/>
          <w:bCs/>
          <w:sz w:val="36"/>
          <w:szCs w:val="36"/>
          <w:lang w:val="es-ES_tradnl"/>
        </w:rPr>
      </w:pPr>
      <w:r w:rsidRPr="0053482C">
        <w:rPr>
          <w:rFonts w:ascii="Times New Roman" w:eastAsiaTheme="minorEastAsia" w:hAnsi="Times New Roman" w:cs="Times New Roman"/>
          <w:b/>
          <w:bCs/>
          <w:sz w:val="36"/>
          <w:szCs w:val="36"/>
          <w:lang w:val="es-ES_tradnl"/>
        </w:rPr>
        <w:t xml:space="preserve">Aviso </w:t>
      </w:r>
      <w:r w:rsidR="00863A6B">
        <w:rPr>
          <w:rFonts w:ascii="Times New Roman" w:eastAsiaTheme="minorEastAsia" w:hAnsi="Times New Roman" w:cs="Times New Roman"/>
          <w:b/>
          <w:bCs/>
          <w:sz w:val="36"/>
          <w:szCs w:val="36"/>
          <w:lang w:val="es-ES_tradnl"/>
        </w:rPr>
        <w:t>de</w:t>
      </w:r>
      <w:r w:rsidRPr="0053482C">
        <w:rPr>
          <w:rFonts w:ascii="Times New Roman" w:eastAsiaTheme="minorEastAsia" w:hAnsi="Times New Roman" w:cs="Times New Roman"/>
          <w:b/>
          <w:bCs/>
          <w:sz w:val="36"/>
          <w:szCs w:val="36"/>
          <w:lang w:val="es-ES_tradnl"/>
        </w:rPr>
        <w:t xml:space="preserve"> solicitud de aumento de tarifas de San Diego Gas &amp; Electric Company</w:t>
      </w:r>
    </w:p>
    <w:p w14:paraId="254EB72C" w14:textId="5804DB74" w:rsidR="00875FAB" w:rsidRPr="0053482C" w:rsidRDefault="007134F5" w:rsidP="009C20D0">
      <w:pPr>
        <w:spacing w:after="0"/>
        <w:rPr>
          <w:rFonts w:ascii="Times New Roman" w:hAnsi="Times New Roman" w:cs="Times New Roman"/>
          <w:lang w:val="es-ES_tradnl"/>
        </w:rPr>
      </w:pPr>
      <w:r w:rsidRPr="0053482C">
        <w:rPr>
          <w:rFonts w:ascii="Times New Roman" w:hAnsi="Times New Roman" w:cs="Times New Roman"/>
          <w:lang w:val="es-ES_tradnl"/>
        </w:rPr>
        <w:t>Solicitud de Revisión General de Tarifas de San Diego Gas &amp; Electric Company (SDG&amp;E</w:t>
      </w:r>
      <w:r w:rsidRPr="005965AA">
        <w:rPr>
          <w:rFonts w:ascii="Times New Roman" w:hAnsi="Times New Roman" w:cs="Times New Roman"/>
          <w:vertAlign w:val="superscript"/>
          <w:lang w:val="es-ES_tradnl"/>
        </w:rPr>
        <w:t>®</w:t>
      </w:r>
      <w:r w:rsidRPr="0053482C">
        <w:rPr>
          <w:rFonts w:ascii="Times New Roman" w:hAnsi="Times New Roman" w:cs="Times New Roman"/>
          <w:lang w:val="es-ES_tradnl"/>
        </w:rPr>
        <w:t>) ante la Comisión de Servicios Públicos de California (CPUC) A. 26-06-015</w:t>
      </w:r>
    </w:p>
    <w:p w14:paraId="099E203F" w14:textId="77777777" w:rsidR="0027753D" w:rsidRPr="00B53775" w:rsidRDefault="0027753D" w:rsidP="009C20D0">
      <w:pPr>
        <w:spacing w:after="0"/>
        <w:rPr>
          <w:rFonts w:ascii="Times New Roman" w:hAnsi="Times New Roman" w:cs="Times New Roman"/>
          <w:sz w:val="20"/>
          <w:szCs w:val="20"/>
          <w:lang w:val="es-ES_tradnl"/>
        </w:rPr>
      </w:pPr>
    </w:p>
    <w:p w14:paraId="3BCBD343" w14:textId="53480858" w:rsidR="00875FAB" w:rsidRPr="0053482C" w:rsidRDefault="00F439C1" w:rsidP="009C20D0">
      <w:pPr>
        <w:spacing w:after="0"/>
        <w:contextualSpacing/>
        <w:rPr>
          <w:rFonts w:ascii="Times New Roman" w:hAnsi="Times New Roman" w:cs="Times New Roman"/>
          <w:b/>
          <w:bCs/>
          <w:lang w:val="es-ES_tradnl"/>
        </w:rPr>
      </w:pPr>
      <w:r w:rsidRPr="0053482C">
        <w:rPr>
          <w:rFonts w:ascii="Times New Roman" w:hAnsi="Times New Roman" w:cs="Times New Roman"/>
          <w:b/>
          <w:bCs/>
          <w:lang w:val="es-ES_tradnl"/>
        </w:rPr>
        <w:t>¿Qué se está solicitando?</w:t>
      </w:r>
    </w:p>
    <w:p w14:paraId="745CA066" w14:textId="674455CE" w:rsidR="00B9248D" w:rsidRPr="0053482C" w:rsidRDefault="00CA18F5" w:rsidP="5ED2E5E8">
      <w:pPr>
        <w:contextualSpacing/>
        <w:rPr>
          <w:u w:val="single"/>
          <w:lang w:val="es-ES_tradnl"/>
        </w:rPr>
      </w:pPr>
      <w:r w:rsidRPr="0053482C">
        <w:rPr>
          <w:rFonts w:ascii="Times New Roman" w:hAnsi="Times New Roman" w:cs="Times New Roman"/>
          <w:lang w:val="es-ES_tradnl"/>
        </w:rPr>
        <w:t>SDG&amp;E solicita un aumento en los ingresos de $280 millones (8.1%) con respecto a los ingresos estimados para 2027 con el fin de: financiar medidas de mitigación de incendios, modernizar el sistema de gas natural y la red eléctrica, introducir mejoras tecnológicas, optimizar la experiencia del cliente y hacer frente al aumento de los costos, como los de seguros</w:t>
      </w:r>
      <w:r w:rsidR="00DF5E3F" w:rsidRPr="0053482C">
        <w:rPr>
          <w:rFonts w:ascii="Times New Roman" w:hAnsi="Times New Roman" w:cs="Times New Roman"/>
          <w:lang w:val="es-ES_tradnl"/>
        </w:rPr>
        <w:t xml:space="preserve">. </w:t>
      </w:r>
    </w:p>
    <w:p w14:paraId="6DDB7961" w14:textId="77777777" w:rsidR="00852C21" w:rsidRPr="00B53775" w:rsidRDefault="00852C21" w:rsidP="5ED2E5E8">
      <w:pPr>
        <w:contextualSpacing/>
        <w:rPr>
          <w:rFonts w:ascii="Times New Roman" w:hAnsi="Times New Roman" w:cs="Times New Roman"/>
          <w:sz w:val="18"/>
          <w:szCs w:val="18"/>
          <w:lang w:val="es-ES_tradnl"/>
        </w:rPr>
      </w:pPr>
    </w:p>
    <w:p w14:paraId="659C0B01" w14:textId="704D8476" w:rsidR="00FE25AA" w:rsidRPr="0053482C" w:rsidRDefault="00664A25" w:rsidP="5ED2E5E8">
      <w:pPr>
        <w:contextualSpacing/>
        <w:rPr>
          <w:rFonts w:ascii="Times New Roman" w:hAnsi="Times New Roman" w:cs="Times New Roman"/>
          <w:lang w:val="es-ES_tradnl"/>
        </w:rPr>
      </w:pPr>
      <w:r w:rsidRPr="0053482C">
        <w:rPr>
          <w:rFonts w:ascii="Times New Roman" w:hAnsi="Times New Roman" w:cs="Times New Roman"/>
          <w:lang w:val="es-ES_tradnl"/>
        </w:rPr>
        <w:t>SDG&amp;E también está buscando una fórmula para hacer frente a la inflación y a las inversiones de capital adicionales que, de aprobarse, aumentarán los ingresos en $327 millones adicionales, es decir, un 8.7% en 2029; $226 millones o 5.5% en 2030, y $240 millones o 5.6% en 2031</w:t>
      </w:r>
      <w:r w:rsidR="00B032BC" w:rsidRPr="0053482C">
        <w:rPr>
          <w:rFonts w:ascii="Times New Roman" w:hAnsi="Times New Roman" w:cs="Times New Roman"/>
          <w:lang w:val="es-ES_tradnl"/>
        </w:rPr>
        <w:t>.</w:t>
      </w:r>
      <w:r w:rsidR="5A5E1251" w:rsidRPr="0053482C">
        <w:rPr>
          <w:rFonts w:ascii="Times New Roman" w:hAnsi="Times New Roman" w:cs="Times New Roman"/>
          <w:lang w:val="es-ES_tradnl"/>
        </w:rPr>
        <w:t xml:space="preserve"> </w:t>
      </w:r>
    </w:p>
    <w:p w14:paraId="44FDCF11" w14:textId="77777777" w:rsidR="0028175A" w:rsidRPr="0053482C" w:rsidRDefault="0028175A" w:rsidP="5ED2E5E8">
      <w:pPr>
        <w:contextualSpacing/>
        <w:rPr>
          <w:lang w:val="es-ES_tradnl"/>
        </w:rPr>
      </w:pPr>
    </w:p>
    <w:p w14:paraId="10410AE2" w14:textId="2787B04C" w:rsidR="0028175A" w:rsidRPr="0053482C" w:rsidRDefault="004F46BD" w:rsidP="0028175A">
      <w:pPr>
        <w:spacing w:after="0" w:line="240" w:lineRule="auto"/>
        <w:jc w:val="center"/>
        <w:rPr>
          <w:rFonts w:ascii="Times New Roman" w:eastAsia="Calibri" w:hAnsi="Times New Roman" w:cs="Times New Roman"/>
          <w:u w:val="single"/>
          <w:lang w:val="es-ES_tradnl"/>
        </w:rPr>
      </w:pPr>
      <w:r w:rsidRPr="0053482C">
        <w:rPr>
          <w:rFonts w:ascii="Times New Roman" w:eastAsia="Calibri" w:hAnsi="Times New Roman" w:cs="Times New Roman"/>
          <w:u w:val="single"/>
          <w:lang w:val="es-ES_tradnl"/>
        </w:rPr>
        <w:t>Aumento propuesto de la tarifa eléctrica de servicio en paquete</w:t>
      </w:r>
    </w:p>
    <w:tbl>
      <w:tblPr>
        <w:tblStyle w:val="TableGrid"/>
        <w:tblW w:w="0" w:type="auto"/>
        <w:tblLook w:val="04A0" w:firstRow="1" w:lastRow="0" w:firstColumn="1" w:lastColumn="0" w:noHBand="0" w:noVBand="1"/>
      </w:tblPr>
      <w:tblGrid>
        <w:gridCol w:w="3116"/>
        <w:gridCol w:w="3117"/>
        <w:gridCol w:w="3117"/>
      </w:tblGrid>
      <w:tr w:rsidR="00DB1FBA" w:rsidRPr="0053482C" w14:paraId="09335B19" w14:textId="77777777" w:rsidTr="001F3749">
        <w:trPr>
          <w:trHeight w:val="570"/>
        </w:trPr>
        <w:tc>
          <w:tcPr>
            <w:tcW w:w="31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39BA96" w14:textId="261BF1E5" w:rsidR="00DB1FBA" w:rsidRPr="0053482C" w:rsidRDefault="004F46BD" w:rsidP="001F3749">
            <w:pPr>
              <w:rPr>
                <w:rFonts w:ascii="Times New Roman" w:eastAsia="Aptos Narrow" w:hAnsi="Times New Roman" w:cs="Times New Roman"/>
                <w:b/>
                <w:bCs/>
                <w:color w:val="000000" w:themeColor="text1"/>
                <w:sz w:val="22"/>
                <w:szCs w:val="22"/>
                <w:lang w:val="es-ES_tradnl"/>
              </w:rPr>
            </w:pPr>
            <w:r w:rsidRPr="0053482C">
              <w:rPr>
                <w:rFonts w:ascii="Times New Roman" w:eastAsia="Aptos Narrow" w:hAnsi="Times New Roman" w:cs="Times New Roman"/>
                <w:b/>
                <w:bCs/>
                <w:color w:val="000000" w:themeColor="text1"/>
                <w:sz w:val="22"/>
                <w:szCs w:val="22"/>
                <w:lang w:val="es-ES_tradnl"/>
              </w:rPr>
              <w:t>Clase de cliente</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B7D194" w14:textId="1B328445" w:rsidR="00DB1FBA" w:rsidRPr="0053482C" w:rsidRDefault="004F46BD" w:rsidP="0028175A">
            <w:pPr>
              <w:jc w:val="center"/>
              <w:rPr>
                <w:rFonts w:ascii="Times New Roman" w:eastAsia="Aptos Narrow" w:hAnsi="Times New Roman" w:cs="Times New Roman"/>
                <w:b/>
                <w:bCs/>
                <w:color w:val="000000" w:themeColor="text1"/>
                <w:sz w:val="22"/>
                <w:szCs w:val="22"/>
                <w:lang w:val="es-ES_tradnl"/>
              </w:rPr>
            </w:pPr>
            <w:r w:rsidRPr="0053482C">
              <w:rPr>
                <w:rFonts w:ascii="Times New Roman" w:eastAsia="Aptos Narrow" w:hAnsi="Times New Roman" w:cs="Times New Roman"/>
                <w:b/>
                <w:bCs/>
                <w:color w:val="000000" w:themeColor="text1"/>
                <w:sz w:val="22"/>
                <w:szCs w:val="22"/>
                <w:lang w:val="es-ES_tradnl"/>
              </w:rPr>
              <w:t>Cambio total en la tarifa</w:t>
            </w:r>
            <w:r w:rsidR="00DB1FBA" w:rsidRPr="0053482C">
              <w:rPr>
                <w:rFonts w:ascii="Times New Roman" w:eastAsia="Aptos Narrow" w:hAnsi="Times New Roman" w:cs="Times New Roman"/>
                <w:b/>
                <w:bCs/>
                <w:color w:val="000000" w:themeColor="text1"/>
                <w:sz w:val="22"/>
                <w:szCs w:val="22"/>
                <w:lang w:val="es-ES_tradnl"/>
              </w:rPr>
              <w:t xml:space="preserve"> </w:t>
            </w:r>
          </w:p>
          <w:p w14:paraId="5FEFE05F" w14:textId="77777777" w:rsidR="00DB1FBA" w:rsidRPr="0053482C" w:rsidRDefault="00DB1FBA" w:rsidP="001F3749">
            <w:pPr>
              <w:jc w:val="center"/>
              <w:rPr>
                <w:rStyle w:val="FootnoteReference"/>
                <w:rFonts w:ascii="Times New Roman" w:hAnsi="Times New Roman" w:cs="Times New Roman"/>
                <w:b/>
                <w:lang w:val="es-ES_tradnl"/>
              </w:rPr>
            </w:pPr>
            <w:r w:rsidRPr="0053482C">
              <w:rPr>
                <w:rFonts w:ascii="Times New Roman" w:eastAsia="Aptos Narrow" w:hAnsi="Times New Roman" w:cs="Times New Roman"/>
                <w:b/>
                <w:bCs/>
                <w:color w:val="000000" w:themeColor="text1"/>
                <w:sz w:val="22"/>
                <w:szCs w:val="22"/>
                <w:lang w:val="es-ES_tradnl"/>
              </w:rPr>
              <w:t>(¢/kWh)</w:t>
            </w:r>
            <w:r w:rsidRPr="0053482C">
              <w:rPr>
                <w:rStyle w:val="FootnoteReference"/>
                <w:rFonts w:ascii="Times New Roman" w:eastAsia="Aptos Narrow" w:hAnsi="Times New Roman" w:cs="Times New Roman"/>
                <w:b/>
                <w:bCs/>
                <w:color w:val="000000" w:themeColor="text1"/>
                <w:sz w:val="22"/>
                <w:szCs w:val="22"/>
                <w:lang w:val="es-ES_tradnl"/>
              </w:rPr>
              <w:footnoteReference w:id="1"/>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1B3195" w14:textId="320AE61A" w:rsidR="005216C8" w:rsidRPr="0053482C" w:rsidRDefault="005216C8" w:rsidP="005216C8">
            <w:pPr>
              <w:jc w:val="center"/>
              <w:rPr>
                <w:rFonts w:ascii="Times New Roman" w:eastAsia="Aptos Narrow" w:hAnsi="Times New Roman" w:cs="Times New Roman"/>
                <w:b/>
                <w:bCs/>
                <w:color w:val="000000" w:themeColor="text1"/>
                <w:sz w:val="22"/>
                <w:szCs w:val="22"/>
                <w:lang w:val="es-ES_tradnl"/>
              </w:rPr>
            </w:pPr>
            <w:r w:rsidRPr="0053482C">
              <w:rPr>
                <w:rFonts w:ascii="Times New Roman" w:eastAsia="Aptos Narrow" w:hAnsi="Times New Roman" w:cs="Times New Roman"/>
                <w:b/>
                <w:bCs/>
                <w:color w:val="000000" w:themeColor="text1"/>
                <w:sz w:val="22"/>
                <w:szCs w:val="22"/>
                <w:lang w:val="es-ES_tradnl"/>
              </w:rPr>
              <w:t>Cambio porcentual en la tarifa promedio</w:t>
            </w:r>
          </w:p>
          <w:p w14:paraId="107F92E7" w14:textId="1649D342" w:rsidR="00DB1FBA" w:rsidRPr="0053482C" w:rsidRDefault="005216C8" w:rsidP="005216C8">
            <w:pPr>
              <w:jc w:val="center"/>
              <w:rPr>
                <w:rFonts w:ascii="Times New Roman" w:eastAsia="Aptos Narrow" w:hAnsi="Times New Roman" w:cs="Times New Roman"/>
                <w:b/>
                <w:bCs/>
                <w:color w:val="000000" w:themeColor="text1"/>
                <w:sz w:val="22"/>
                <w:szCs w:val="22"/>
                <w:lang w:val="es-ES_tradnl"/>
              </w:rPr>
            </w:pPr>
            <w:r w:rsidRPr="0053482C">
              <w:rPr>
                <w:rFonts w:ascii="Times New Roman" w:eastAsia="Aptos Narrow" w:hAnsi="Times New Roman" w:cs="Times New Roman"/>
                <w:b/>
                <w:bCs/>
                <w:color w:val="000000" w:themeColor="text1"/>
                <w:sz w:val="22"/>
                <w:szCs w:val="22"/>
                <w:lang w:val="es-ES_tradnl"/>
              </w:rPr>
              <w:t xml:space="preserve"> </w:t>
            </w:r>
            <w:r w:rsidR="00DB1FBA" w:rsidRPr="0053482C">
              <w:rPr>
                <w:rFonts w:ascii="Times New Roman" w:eastAsia="Aptos Narrow" w:hAnsi="Times New Roman" w:cs="Times New Roman"/>
                <w:b/>
                <w:bCs/>
                <w:color w:val="000000" w:themeColor="text1"/>
                <w:sz w:val="22"/>
                <w:szCs w:val="22"/>
                <w:lang w:val="es-ES_tradnl"/>
              </w:rPr>
              <w:t>(%)</w:t>
            </w:r>
          </w:p>
        </w:tc>
      </w:tr>
      <w:tr w:rsidR="00DB1FBA" w:rsidRPr="0053482C" w14:paraId="49A431AE" w14:textId="77777777" w:rsidTr="001F3749">
        <w:trPr>
          <w:trHeight w:val="285"/>
        </w:trPr>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23A83E2" w14:textId="58EA28F9" w:rsidR="00DB1FBA" w:rsidRPr="0053482C" w:rsidRDefault="00DB1FBA" w:rsidP="001F3749">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t>Residen</w:t>
            </w:r>
            <w:r w:rsidR="005216C8" w:rsidRPr="0053482C">
              <w:rPr>
                <w:rFonts w:ascii="Times New Roman" w:eastAsia="Aptos Narrow" w:hAnsi="Times New Roman" w:cs="Times New Roman"/>
                <w:color w:val="000000" w:themeColor="text1"/>
                <w:sz w:val="22"/>
                <w:szCs w:val="22"/>
                <w:lang w:val="es-ES_tradnl"/>
              </w:rPr>
              <w:t>c</w:t>
            </w:r>
            <w:r w:rsidRPr="0053482C">
              <w:rPr>
                <w:rFonts w:ascii="Times New Roman" w:eastAsia="Aptos Narrow" w:hAnsi="Times New Roman" w:cs="Times New Roman"/>
                <w:color w:val="000000" w:themeColor="text1"/>
                <w:sz w:val="22"/>
                <w:szCs w:val="22"/>
                <w:lang w:val="es-ES_tradnl"/>
              </w:rPr>
              <w:t>ial</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E2389C"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3.52</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A2ABC3"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7.5%</w:t>
            </w:r>
          </w:p>
        </w:tc>
      </w:tr>
      <w:tr w:rsidR="00DB1FBA" w:rsidRPr="0053482C" w14:paraId="2C1DDFC1" w14:textId="77777777" w:rsidTr="001F3749">
        <w:trPr>
          <w:trHeight w:val="285"/>
        </w:trPr>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B12B1E2" w14:textId="5297F512" w:rsidR="00DB1FBA" w:rsidRPr="0053482C" w:rsidRDefault="00E9240A" w:rsidP="001F3749">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t>Comercial pequeño</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3F047D"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2.96</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9C2400"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7.1%</w:t>
            </w:r>
          </w:p>
        </w:tc>
      </w:tr>
      <w:tr w:rsidR="00DB1FBA" w:rsidRPr="0053482C" w14:paraId="1FB6D2DB" w14:textId="77777777" w:rsidTr="001F3749">
        <w:trPr>
          <w:trHeight w:val="285"/>
        </w:trPr>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11DBB18" w14:textId="0016169B" w:rsidR="00DB1FBA" w:rsidRPr="0053482C" w:rsidRDefault="00E9240A" w:rsidP="001F3749">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t>Comercial mediano</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9F423D"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1.11</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BCF2AE"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2.8%</w:t>
            </w:r>
          </w:p>
        </w:tc>
      </w:tr>
      <w:tr w:rsidR="00DB1FBA" w:rsidRPr="0053482C" w14:paraId="4210FEA6" w14:textId="77777777" w:rsidTr="001F3749">
        <w:trPr>
          <w:trHeight w:val="285"/>
        </w:trPr>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3C3E6A3" w14:textId="3BE3853A" w:rsidR="00DB1FBA" w:rsidRPr="0053482C" w:rsidRDefault="00A95C34" w:rsidP="001F3749">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t>Comercial e industrial grande</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73D534"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1.03</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C70B7F"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2.6%</w:t>
            </w:r>
          </w:p>
        </w:tc>
      </w:tr>
      <w:tr w:rsidR="00DB1FBA" w:rsidRPr="0053482C" w14:paraId="2AFA0733" w14:textId="77777777" w:rsidTr="001F3749">
        <w:trPr>
          <w:trHeight w:val="285"/>
        </w:trPr>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105F55B" w14:textId="2E90720A" w:rsidR="00DB1FBA" w:rsidRPr="0053482C" w:rsidRDefault="00A95C34" w:rsidP="001F3749">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t>Agrícola</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A26FBC"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1.33</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A56AAA"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4.9%</w:t>
            </w:r>
          </w:p>
        </w:tc>
      </w:tr>
      <w:tr w:rsidR="00DB1FBA" w:rsidRPr="0053482C" w14:paraId="3A157E16" w14:textId="77777777" w:rsidTr="001F3749">
        <w:trPr>
          <w:trHeight w:val="285"/>
        </w:trPr>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4F30AB7" w14:textId="4B97582C" w:rsidR="00DB1FBA" w:rsidRPr="0053482C" w:rsidRDefault="00680C08" w:rsidP="001F3749">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t>Alumbrado público</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EEEA7F"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0.67</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A6BFB7" w14:textId="77777777" w:rsidR="00DB1FBA" w:rsidRPr="0053482C" w:rsidRDefault="00DB1FBA" w:rsidP="0028175A">
            <w:pPr>
              <w:jc w:val="center"/>
              <w:rPr>
                <w:rFonts w:ascii="Times New Roman" w:eastAsia="Aptos Narrow" w:hAnsi="Times New Roman" w:cs="Times New Roman"/>
                <w:color w:val="000000" w:themeColor="text1"/>
                <w:sz w:val="22"/>
                <w:szCs w:val="22"/>
                <w:lang w:val="es-ES_tradnl"/>
              </w:rPr>
            </w:pPr>
            <w:r w:rsidRPr="0053482C">
              <w:rPr>
                <w:rFonts w:ascii="Times New Roman" w:hAnsi="Times New Roman" w:cs="Times New Roman"/>
                <w:color w:val="000000"/>
                <w:sz w:val="22"/>
                <w:szCs w:val="22"/>
                <w:lang w:val="es-ES_tradnl"/>
              </w:rPr>
              <w:t>2.4%</w:t>
            </w:r>
          </w:p>
        </w:tc>
      </w:tr>
      <w:tr w:rsidR="00DB1FBA" w:rsidRPr="0053482C" w14:paraId="55DE1CBB" w14:textId="77777777" w:rsidTr="001F3749">
        <w:trPr>
          <w:trHeight w:val="285"/>
        </w:trPr>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592EB14" w14:textId="592B695B" w:rsidR="00DB1FBA" w:rsidRPr="0053482C" w:rsidRDefault="00680C08" w:rsidP="001F3749">
            <w:pPr>
              <w:rPr>
                <w:rFonts w:ascii="Times New Roman" w:eastAsia="Aptos Narrow" w:hAnsi="Times New Roman" w:cs="Times New Roman"/>
                <w:b/>
                <w:bCs/>
                <w:color w:val="000000" w:themeColor="text1"/>
                <w:sz w:val="22"/>
                <w:szCs w:val="22"/>
                <w:lang w:val="es-ES_tradnl"/>
              </w:rPr>
            </w:pPr>
            <w:r w:rsidRPr="0053482C">
              <w:rPr>
                <w:rFonts w:ascii="Times New Roman" w:eastAsia="Aptos Narrow" w:hAnsi="Times New Roman" w:cs="Times New Roman"/>
                <w:b/>
                <w:bCs/>
                <w:color w:val="000000" w:themeColor="text1"/>
                <w:sz w:val="22"/>
                <w:szCs w:val="22"/>
                <w:lang w:val="es-ES_tradnl"/>
              </w:rPr>
              <w:t>Total del sistema</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515D58" w14:textId="77777777" w:rsidR="00DB1FBA" w:rsidRPr="0053482C" w:rsidRDefault="00DB1FBA" w:rsidP="0028175A">
            <w:pPr>
              <w:jc w:val="center"/>
              <w:rPr>
                <w:rFonts w:ascii="Times New Roman" w:eastAsia="Aptos Narrow" w:hAnsi="Times New Roman" w:cs="Times New Roman"/>
                <w:b/>
                <w:bCs/>
                <w:color w:val="000000" w:themeColor="text1"/>
                <w:sz w:val="22"/>
                <w:szCs w:val="22"/>
                <w:lang w:val="es-ES_tradnl"/>
              </w:rPr>
            </w:pPr>
            <w:r w:rsidRPr="0053482C">
              <w:rPr>
                <w:rFonts w:ascii="Times New Roman" w:hAnsi="Times New Roman" w:cs="Times New Roman"/>
                <w:color w:val="000000"/>
                <w:sz w:val="22"/>
                <w:szCs w:val="22"/>
                <w:lang w:val="es-ES_tradnl"/>
              </w:rPr>
              <w:t>2.04</w:t>
            </w:r>
          </w:p>
        </w:tc>
        <w:tc>
          <w:tcPr>
            <w:tcW w:w="31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76D534" w14:textId="77777777" w:rsidR="00DB1FBA" w:rsidRPr="0053482C" w:rsidRDefault="00DB1FBA" w:rsidP="0028175A">
            <w:pPr>
              <w:jc w:val="center"/>
              <w:rPr>
                <w:rFonts w:ascii="Times New Roman" w:eastAsia="Aptos Narrow" w:hAnsi="Times New Roman" w:cs="Times New Roman"/>
                <w:b/>
                <w:bCs/>
                <w:color w:val="000000" w:themeColor="text1"/>
                <w:sz w:val="22"/>
                <w:szCs w:val="22"/>
                <w:lang w:val="es-ES_tradnl"/>
              </w:rPr>
            </w:pPr>
            <w:r w:rsidRPr="0053482C">
              <w:rPr>
                <w:rFonts w:ascii="Times New Roman" w:hAnsi="Times New Roman" w:cs="Times New Roman"/>
                <w:color w:val="000000"/>
                <w:sz w:val="22"/>
                <w:szCs w:val="22"/>
                <w:lang w:val="es-ES_tradnl"/>
              </w:rPr>
              <w:t>4.9%</w:t>
            </w:r>
          </w:p>
        </w:tc>
      </w:tr>
    </w:tbl>
    <w:p w14:paraId="78570096" w14:textId="77777777" w:rsidR="00581B86" w:rsidRPr="00B53775" w:rsidRDefault="00581B86" w:rsidP="00581B86">
      <w:pPr>
        <w:rPr>
          <w:rFonts w:ascii="Times New Roman" w:hAnsi="Times New Roman" w:cs="Times New Roman"/>
          <w:sz w:val="12"/>
          <w:szCs w:val="12"/>
          <w:lang w:val="es-ES_tradnl"/>
        </w:rPr>
      </w:pPr>
    </w:p>
    <w:p w14:paraId="15E0436E" w14:textId="71A25D49" w:rsidR="00941D16" w:rsidRPr="0053482C" w:rsidRDefault="00680C08" w:rsidP="00941D16">
      <w:pPr>
        <w:spacing w:after="0" w:line="240" w:lineRule="auto"/>
        <w:jc w:val="center"/>
        <w:rPr>
          <w:rFonts w:ascii="Times New Roman" w:eastAsia="Calibri" w:hAnsi="Times New Roman" w:cs="Times New Roman"/>
          <w:u w:val="single"/>
          <w:lang w:val="es-ES_tradnl"/>
        </w:rPr>
      </w:pPr>
      <w:r w:rsidRPr="0053482C">
        <w:rPr>
          <w:rFonts w:ascii="Times New Roman" w:eastAsia="Calibri" w:hAnsi="Times New Roman" w:cs="Times New Roman"/>
          <w:u w:val="single"/>
          <w:lang w:val="es-ES_tradnl"/>
        </w:rPr>
        <w:t>Aumento propuesto de la tarifa de gas de servicio en paquete</w:t>
      </w:r>
    </w:p>
    <w:p w14:paraId="57878709" w14:textId="77777777" w:rsidR="00941D16" w:rsidRPr="0053482C" w:rsidRDefault="00941D16" w:rsidP="00941D16">
      <w:pPr>
        <w:spacing w:after="0" w:line="240" w:lineRule="auto"/>
        <w:jc w:val="center"/>
        <w:rPr>
          <w:rFonts w:ascii="Times New Roman" w:eastAsia="Calibri" w:hAnsi="Times New Roman" w:cs="Times New Roman"/>
          <w:u w:val="single"/>
          <w:lang w:val="es-ES_tradnl"/>
        </w:rPr>
      </w:pPr>
    </w:p>
    <w:tbl>
      <w:tblPr>
        <w:tblStyle w:val="TableGrid"/>
        <w:tblW w:w="0" w:type="auto"/>
        <w:tblLook w:val="04A0" w:firstRow="1" w:lastRow="0" w:firstColumn="1" w:lastColumn="0" w:noHBand="0" w:noVBand="1"/>
      </w:tblPr>
      <w:tblGrid>
        <w:gridCol w:w="3116"/>
        <w:gridCol w:w="3117"/>
        <w:gridCol w:w="3117"/>
      </w:tblGrid>
      <w:tr w:rsidR="00941D16" w:rsidRPr="00B53775" w14:paraId="7FDFC1F1" w14:textId="77777777" w:rsidTr="001F3749">
        <w:tc>
          <w:tcPr>
            <w:tcW w:w="3116" w:type="dxa"/>
            <w:tcMar>
              <w:top w:w="15" w:type="dxa"/>
              <w:left w:w="15" w:type="dxa"/>
              <w:right w:w="15" w:type="dxa"/>
            </w:tcMar>
            <w:vAlign w:val="bottom"/>
          </w:tcPr>
          <w:p w14:paraId="05544754" w14:textId="2C072968" w:rsidR="00941D16" w:rsidRPr="0053482C" w:rsidRDefault="00680C08" w:rsidP="001F3749">
            <w:pPr>
              <w:rPr>
                <w:rFonts w:ascii="Times New Roman" w:hAnsi="Times New Roman" w:cs="Times New Roman"/>
                <w:lang w:val="es-ES_tradnl"/>
              </w:rPr>
            </w:pPr>
            <w:r w:rsidRPr="0053482C">
              <w:rPr>
                <w:rFonts w:ascii="Times New Roman" w:hAnsi="Times New Roman" w:cs="Times New Roman"/>
                <w:lang w:val="es-ES_tradnl"/>
              </w:rPr>
              <w:t>Clase de cliente</w:t>
            </w:r>
          </w:p>
        </w:tc>
        <w:tc>
          <w:tcPr>
            <w:tcW w:w="3117" w:type="dxa"/>
            <w:tcMar>
              <w:top w:w="15" w:type="dxa"/>
              <w:left w:w="15" w:type="dxa"/>
              <w:right w:w="15" w:type="dxa"/>
            </w:tcMar>
            <w:vAlign w:val="bottom"/>
          </w:tcPr>
          <w:p w14:paraId="0D4119F1" w14:textId="43026185" w:rsidR="00941D16" w:rsidRPr="0053482C" w:rsidRDefault="005E1E3A" w:rsidP="001F3749">
            <w:pPr>
              <w:jc w:val="center"/>
              <w:rPr>
                <w:rFonts w:ascii="Times New Roman" w:eastAsia="Times New Roman" w:hAnsi="Times New Roman" w:cs="Times New Roman"/>
                <w:b/>
                <w:bCs/>
                <w:kern w:val="0"/>
                <w:lang w:val="es-ES_tradnl"/>
                <w14:ligatures w14:val="none"/>
              </w:rPr>
            </w:pPr>
            <w:r w:rsidRPr="0053482C">
              <w:rPr>
                <w:rFonts w:ascii="Times New Roman" w:eastAsia="Times New Roman" w:hAnsi="Times New Roman" w:cs="Times New Roman"/>
                <w:b/>
                <w:bCs/>
                <w:kern w:val="0"/>
                <w:lang w:val="es-ES_tradnl"/>
                <w14:ligatures w14:val="none"/>
              </w:rPr>
              <w:t>Cambio total en la tarifa</w:t>
            </w:r>
            <w:r w:rsidR="00941D16" w:rsidRPr="0053482C">
              <w:rPr>
                <w:rFonts w:ascii="Times New Roman" w:eastAsia="Times New Roman" w:hAnsi="Times New Roman" w:cs="Times New Roman"/>
                <w:b/>
                <w:bCs/>
                <w:kern w:val="0"/>
                <w:lang w:val="es-ES_tradnl"/>
                <w14:ligatures w14:val="none"/>
              </w:rPr>
              <w:t xml:space="preserve"> </w:t>
            </w:r>
          </w:p>
          <w:p w14:paraId="158CDD6A" w14:textId="5B8E9525" w:rsidR="00941D16" w:rsidRPr="0053482C" w:rsidRDefault="00941D16" w:rsidP="001F3749">
            <w:pPr>
              <w:jc w:val="center"/>
              <w:rPr>
                <w:rFonts w:ascii="Times New Roman" w:hAnsi="Times New Roman" w:cs="Times New Roman"/>
                <w:lang w:val="es-ES_tradnl"/>
              </w:rPr>
            </w:pPr>
            <w:r w:rsidRPr="0053482C">
              <w:rPr>
                <w:rFonts w:ascii="Times New Roman" w:eastAsia="Times New Roman" w:hAnsi="Times New Roman" w:cs="Times New Roman"/>
                <w:b/>
                <w:bCs/>
                <w:kern w:val="0"/>
                <w:lang w:val="es-ES_tradnl"/>
                <w14:ligatures w14:val="none"/>
              </w:rPr>
              <w:t>($/</w:t>
            </w:r>
            <w:r w:rsidR="0053482C">
              <w:rPr>
                <w:rFonts w:ascii="Times New Roman" w:eastAsia="Times New Roman" w:hAnsi="Times New Roman" w:cs="Times New Roman"/>
                <w:b/>
                <w:bCs/>
                <w:kern w:val="0"/>
                <w:lang w:val="es-ES_tradnl"/>
                <w14:ligatures w14:val="none"/>
              </w:rPr>
              <w:t>termia</w:t>
            </w:r>
            <w:r w:rsidRPr="0053482C">
              <w:rPr>
                <w:rFonts w:ascii="Times New Roman" w:eastAsia="Times New Roman" w:hAnsi="Times New Roman" w:cs="Times New Roman"/>
                <w:b/>
                <w:bCs/>
                <w:kern w:val="0"/>
                <w:lang w:val="es-ES_tradnl"/>
                <w14:ligatures w14:val="none"/>
              </w:rPr>
              <w:t>)</w:t>
            </w:r>
          </w:p>
        </w:tc>
        <w:tc>
          <w:tcPr>
            <w:tcW w:w="3117" w:type="dxa"/>
            <w:tcMar>
              <w:top w:w="15" w:type="dxa"/>
              <w:left w:w="15" w:type="dxa"/>
              <w:right w:w="15" w:type="dxa"/>
            </w:tcMar>
            <w:vAlign w:val="bottom"/>
          </w:tcPr>
          <w:p w14:paraId="5816DB16" w14:textId="18FA9549" w:rsidR="00941D16" w:rsidRPr="0053482C" w:rsidRDefault="005E1E3A" w:rsidP="001F3749">
            <w:pPr>
              <w:jc w:val="center"/>
              <w:rPr>
                <w:rFonts w:ascii="Times New Roman" w:hAnsi="Times New Roman" w:cs="Times New Roman"/>
                <w:lang w:val="es-ES_tradnl"/>
              </w:rPr>
            </w:pPr>
            <w:r w:rsidRPr="0053482C">
              <w:rPr>
                <w:rFonts w:ascii="Times New Roman" w:eastAsia="Times New Roman" w:hAnsi="Times New Roman" w:cs="Times New Roman"/>
                <w:b/>
                <w:bCs/>
                <w:kern w:val="0"/>
                <w:lang w:val="es-ES_tradnl"/>
                <w14:ligatures w14:val="none"/>
              </w:rPr>
              <w:t xml:space="preserve">Cambio porcentual en la tarifa promedio </w:t>
            </w:r>
            <w:r w:rsidR="00941D16" w:rsidRPr="0053482C">
              <w:rPr>
                <w:rFonts w:ascii="Times New Roman" w:eastAsia="Times New Roman" w:hAnsi="Times New Roman" w:cs="Times New Roman"/>
                <w:b/>
                <w:bCs/>
                <w:kern w:val="0"/>
                <w:lang w:val="es-ES_tradnl"/>
                <w14:ligatures w14:val="none"/>
              </w:rPr>
              <w:t>(%)</w:t>
            </w:r>
          </w:p>
        </w:tc>
      </w:tr>
      <w:tr w:rsidR="00941D16" w:rsidRPr="0053482C" w14:paraId="7B12470E" w14:textId="77777777" w:rsidTr="001F3749">
        <w:tc>
          <w:tcPr>
            <w:tcW w:w="3116" w:type="dxa"/>
            <w:tcMar>
              <w:top w:w="15" w:type="dxa"/>
              <w:left w:w="15" w:type="dxa"/>
              <w:right w:w="15" w:type="dxa"/>
            </w:tcMar>
            <w:vAlign w:val="bottom"/>
          </w:tcPr>
          <w:p w14:paraId="46202A6B" w14:textId="1AD217BC" w:rsidR="00941D16" w:rsidRPr="0053482C" w:rsidRDefault="00941D16" w:rsidP="001F3749">
            <w:pPr>
              <w:rPr>
                <w:rFonts w:ascii="Times New Roman" w:hAnsi="Times New Roman" w:cs="Times New Roman"/>
                <w:lang w:val="es-ES_tradnl"/>
              </w:rPr>
            </w:pPr>
            <w:r w:rsidRPr="0053482C">
              <w:rPr>
                <w:rFonts w:ascii="Times New Roman" w:eastAsia="Aptos Narrow" w:hAnsi="Times New Roman" w:cs="Times New Roman"/>
                <w:color w:val="000000" w:themeColor="text1"/>
                <w:sz w:val="22"/>
                <w:szCs w:val="22"/>
                <w:lang w:val="es-ES_tradnl"/>
              </w:rPr>
              <w:t>Residen</w:t>
            </w:r>
            <w:r w:rsidR="00680C08" w:rsidRPr="0053482C">
              <w:rPr>
                <w:rFonts w:ascii="Times New Roman" w:eastAsia="Aptos Narrow" w:hAnsi="Times New Roman" w:cs="Times New Roman"/>
                <w:color w:val="000000" w:themeColor="text1"/>
                <w:sz w:val="22"/>
                <w:szCs w:val="22"/>
                <w:lang w:val="es-ES_tradnl"/>
              </w:rPr>
              <w:t>c</w:t>
            </w:r>
            <w:r w:rsidRPr="0053482C">
              <w:rPr>
                <w:rFonts w:ascii="Times New Roman" w:eastAsia="Aptos Narrow" w:hAnsi="Times New Roman" w:cs="Times New Roman"/>
                <w:color w:val="000000" w:themeColor="text1"/>
                <w:sz w:val="22"/>
                <w:szCs w:val="22"/>
                <w:lang w:val="es-ES_tradnl"/>
              </w:rPr>
              <w:t>ial</w:t>
            </w:r>
            <w:r w:rsidRPr="0053482C" w:rsidDel="78EB06FC">
              <w:rPr>
                <w:rFonts w:ascii="Times New Roman" w:hAnsi="Times New Roman" w:cs="Times New Roman"/>
                <w:lang w:val="es-ES_tradnl"/>
              </w:rPr>
              <w:t xml:space="preserve"> </w:t>
            </w:r>
          </w:p>
        </w:tc>
        <w:tc>
          <w:tcPr>
            <w:tcW w:w="3117" w:type="dxa"/>
            <w:tcMar>
              <w:top w:w="15" w:type="dxa"/>
              <w:left w:w="15" w:type="dxa"/>
              <w:right w:w="15" w:type="dxa"/>
            </w:tcMar>
          </w:tcPr>
          <w:p w14:paraId="5B082C0D" w14:textId="77777777" w:rsidR="00941D16" w:rsidRPr="0053482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$0.36276</w:t>
            </w:r>
          </w:p>
        </w:tc>
        <w:tc>
          <w:tcPr>
            <w:tcW w:w="3117" w:type="dxa"/>
            <w:tcMar>
              <w:top w:w="15" w:type="dxa"/>
              <w:left w:w="15" w:type="dxa"/>
              <w:right w:w="15" w:type="dxa"/>
            </w:tcMar>
          </w:tcPr>
          <w:p w14:paraId="638EDF1D" w14:textId="77777777" w:rsidR="00941D16" w:rsidRPr="0053482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13.2%</w:t>
            </w:r>
          </w:p>
        </w:tc>
      </w:tr>
      <w:tr w:rsidR="00941D16" w:rsidRPr="0053482C" w14:paraId="427EE0F0" w14:textId="77777777" w:rsidTr="001F3749">
        <w:tc>
          <w:tcPr>
            <w:tcW w:w="3116" w:type="dxa"/>
            <w:tcMar>
              <w:top w:w="15" w:type="dxa"/>
              <w:left w:w="15" w:type="dxa"/>
              <w:right w:w="15" w:type="dxa"/>
            </w:tcMar>
            <w:vAlign w:val="bottom"/>
          </w:tcPr>
          <w:p w14:paraId="073CD708" w14:textId="1DBFA0FB" w:rsidR="00941D16" w:rsidRPr="0053482C" w:rsidRDefault="005E1E3A" w:rsidP="005E1E3A">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t>Comercial e industrial principal</w:t>
            </w:r>
          </w:p>
        </w:tc>
        <w:tc>
          <w:tcPr>
            <w:tcW w:w="3117" w:type="dxa"/>
            <w:tcMar>
              <w:top w:w="15" w:type="dxa"/>
              <w:left w:w="15" w:type="dxa"/>
              <w:right w:w="15" w:type="dxa"/>
            </w:tcMar>
          </w:tcPr>
          <w:p w14:paraId="4411F398" w14:textId="77777777" w:rsidR="00941D16" w:rsidRPr="0053482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$0.10079</w:t>
            </w:r>
          </w:p>
        </w:tc>
        <w:tc>
          <w:tcPr>
            <w:tcW w:w="3117" w:type="dxa"/>
            <w:tcMar>
              <w:top w:w="15" w:type="dxa"/>
              <w:left w:w="15" w:type="dxa"/>
              <w:right w:w="15" w:type="dxa"/>
            </w:tcMar>
          </w:tcPr>
          <w:p w14:paraId="7FBAF611" w14:textId="77777777" w:rsidR="00941D16" w:rsidRPr="0053482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6.4%</w:t>
            </w:r>
          </w:p>
        </w:tc>
      </w:tr>
      <w:tr w:rsidR="00941D16" w:rsidRPr="0053482C" w14:paraId="4F00FE99" w14:textId="77777777" w:rsidTr="001F3749">
        <w:tc>
          <w:tcPr>
            <w:tcW w:w="3116" w:type="dxa"/>
            <w:tcMar>
              <w:top w:w="15" w:type="dxa"/>
              <w:left w:w="15" w:type="dxa"/>
              <w:right w:w="15" w:type="dxa"/>
            </w:tcMar>
            <w:vAlign w:val="bottom"/>
          </w:tcPr>
          <w:p w14:paraId="18882D48" w14:textId="04EFB6F6" w:rsidR="00941D16" w:rsidRPr="0053482C" w:rsidRDefault="005E1E3A" w:rsidP="001F3749">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t>VGN</w:t>
            </w:r>
          </w:p>
        </w:tc>
        <w:tc>
          <w:tcPr>
            <w:tcW w:w="3117" w:type="dxa"/>
            <w:tcMar>
              <w:top w:w="15" w:type="dxa"/>
              <w:left w:w="15" w:type="dxa"/>
              <w:right w:w="15" w:type="dxa"/>
            </w:tcMar>
          </w:tcPr>
          <w:p w14:paraId="3B3DF1AF" w14:textId="77777777" w:rsidR="00941D16" w:rsidRPr="0053482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$0.03558</w:t>
            </w:r>
          </w:p>
        </w:tc>
        <w:tc>
          <w:tcPr>
            <w:tcW w:w="3117" w:type="dxa"/>
            <w:tcMar>
              <w:top w:w="15" w:type="dxa"/>
              <w:left w:w="15" w:type="dxa"/>
              <w:right w:w="15" w:type="dxa"/>
            </w:tcMar>
          </w:tcPr>
          <w:p w14:paraId="526D87D6" w14:textId="77777777" w:rsidR="00941D16" w:rsidRPr="0053482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3.9%</w:t>
            </w:r>
          </w:p>
        </w:tc>
      </w:tr>
      <w:tr w:rsidR="00941D16" w:rsidRPr="0053482C" w14:paraId="5DAD95D3" w14:textId="77777777" w:rsidTr="001F3749">
        <w:tc>
          <w:tcPr>
            <w:tcW w:w="3116" w:type="dxa"/>
            <w:tcMar>
              <w:top w:w="15" w:type="dxa"/>
              <w:left w:w="15" w:type="dxa"/>
              <w:right w:w="15" w:type="dxa"/>
            </w:tcMar>
            <w:vAlign w:val="bottom"/>
          </w:tcPr>
          <w:p w14:paraId="743415F6" w14:textId="658EBB9C" w:rsidR="00941D16" w:rsidRPr="0053482C" w:rsidRDefault="00133C72" w:rsidP="001F3749">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t>Total principal</w:t>
            </w:r>
          </w:p>
        </w:tc>
        <w:tc>
          <w:tcPr>
            <w:tcW w:w="3117" w:type="dxa"/>
            <w:tcMar>
              <w:top w:w="15" w:type="dxa"/>
              <w:left w:w="15" w:type="dxa"/>
              <w:right w:w="15" w:type="dxa"/>
            </w:tcMar>
          </w:tcPr>
          <w:p w14:paraId="0D3B6B2B" w14:textId="77777777" w:rsidR="00941D16" w:rsidRPr="0053482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$0.08150</w:t>
            </w:r>
          </w:p>
        </w:tc>
        <w:tc>
          <w:tcPr>
            <w:tcW w:w="3117" w:type="dxa"/>
            <w:tcMar>
              <w:top w:w="15" w:type="dxa"/>
              <w:left w:w="15" w:type="dxa"/>
              <w:right w:w="15" w:type="dxa"/>
            </w:tcMar>
          </w:tcPr>
          <w:p w14:paraId="3B8AFA35" w14:textId="77777777" w:rsidR="00941D16" w:rsidRPr="0053482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3.6%</w:t>
            </w:r>
          </w:p>
        </w:tc>
      </w:tr>
      <w:tr w:rsidR="00941D16" w:rsidRPr="0053482C" w14:paraId="61549C92" w14:textId="77777777" w:rsidTr="001F3749">
        <w:tc>
          <w:tcPr>
            <w:tcW w:w="3116" w:type="dxa"/>
            <w:tcMar>
              <w:top w:w="15" w:type="dxa"/>
              <w:left w:w="15" w:type="dxa"/>
              <w:right w:w="15" w:type="dxa"/>
            </w:tcMar>
            <w:vAlign w:val="bottom"/>
          </w:tcPr>
          <w:p w14:paraId="67599FEF" w14:textId="77777777" w:rsidR="00941D16" w:rsidRPr="0053482C" w:rsidDel="78EB06FC" w:rsidRDefault="00941D16" w:rsidP="001F3749">
            <w:pPr>
              <w:rPr>
                <w:rFonts w:ascii="Times New Roman" w:eastAsia="Aptos Narrow" w:hAnsi="Times New Roman" w:cs="Times New Roman"/>
                <w:color w:val="000000" w:themeColor="text1"/>
                <w:sz w:val="22"/>
                <w:szCs w:val="22"/>
                <w:lang w:val="es-ES_tradnl"/>
              </w:rPr>
            </w:pPr>
          </w:p>
        </w:tc>
        <w:tc>
          <w:tcPr>
            <w:tcW w:w="3117" w:type="dxa"/>
            <w:tcMar>
              <w:top w:w="15" w:type="dxa"/>
              <w:left w:w="15" w:type="dxa"/>
              <w:right w:w="15" w:type="dxa"/>
            </w:tcMar>
          </w:tcPr>
          <w:p w14:paraId="74597D52"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 xml:space="preserve"> </w:t>
            </w:r>
          </w:p>
        </w:tc>
        <w:tc>
          <w:tcPr>
            <w:tcW w:w="3117" w:type="dxa"/>
            <w:tcMar>
              <w:top w:w="15" w:type="dxa"/>
              <w:left w:w="15" w:type="dxa"/>
              <w:right w:w="15" w:type="dxa"/>
            </w:tcMar>
          </w:tcPr>
          <w:p w14:paraId="2829A967"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 xml:space="preserve"> </w:t>
            </w:r>
          </w:p>
        </w:tc>
      </w:tr>
      <w:tr w:rsidR="00941D16" w:rsidRPr="0053482C" w14:paraId="258C9580" w14:textId="77777777" w:rsidTr="001F3749">
        <w:tc>
          <w:tcPr>
            <w:tcW w:w="3116" w:type="dxa"/>
            <w:tcMar>
              <w:top w:w="15" w:type="dxa"/>
              <w:left w:w="15" w:type="dxa"/>
              <w:right w:w="15" w:type="dxa"/>
            </w:tcMar>
            <w:vAlign w:val="bottom"/>
          </w:tcPr>
          <w:p w14:paraId="06078A2C" w14:textId="33345232" w:rsidR="00941D16" w:rsidRPr="0053482C" w:rsidDel="78EB06FC" w:rsidRDefault="00133C72" w:rsidP="001F3749">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lastRenderedPageBreak/>
              <w:t>Comercial e industrial no principal</w:t>
            </w:r>
          </w:p>
        </w:tc>
        <w:tc>
          <w:tcPr>
            <w:tcW w:w="3117" w:type="dxa"/>
            <w:tcMar>
              <w:top w:w="15" w:type="dxa"/>
              <w:left w:w="15" w:type="dxa"/>
              <w:right w:w="15" w:type="dxa"/>
            </w:tcMar>
          </w:tcPr>
          <w:p w14:paraId="6A4C7A7F"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$0.01805</w:t>
            </w:r>
          </w:p>
        </w:tc>
        <w:tc>
          <w:tcPr>
            <w:tcW w:w="3117" w:type="dxa"/>
            <w:tcMar>
              <w:top w:w="15" w:type="dxa"/>
              <w:left w:w="15" w:type="dxa"/>
              <w:right w:w="15" w:type="dxa"/>
            </w:tcMar>
          </w:tcPr>
          <w:p w14:paraId="1304430A"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3.6%</w:t>
            </w:r>
          </w:p>
        </w:tc>
      </w:tr>
      <w:tr w:rsidR="00941D16" w:rsidRPr="0053482C" w14:paraId="34A233A5" w14:textId="77777777" w:rsidTr="001F3749">
        <w:tc>
          <w:tcPr>
            <w:tcW w:w="3116" w:type="dxa"/>
            <w:tcMar>
              <w:top w:w="15" w:type="dxa"/>
              <w:left w:w="15" w:type="dxa"/>
              <w:right w:w="15" w:type="dxa"/>
            </w:tcMar>
            <w:vAlign w:val="bottom"/>
          </w:tcPr>
          <w:p w14:paraId="1D501230" w14:textId="55BA025E" w:rsidR="00941D16" w:rsidRPr="0053482C" w:rsidDel="78EB06FC" w:rsidRDefault="00B4568A" w:rsidP="001F3749">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t>GE</w:t>
            </w:r>
          </w:p>
        </w:tc>
        <w:tc>
          <w:tcPr>
            <w:tcW w:w="3117" w:type="dxa"/>
            <w:tcMar>
              <w:top w:w="15" w:type="dxa"/>
              <w:left w:w="15" w:type="dxa"/>
              <w:right w:w="15" w:type="dxa"/>
            </w:tcMar>
          </w:tcPr>
          <w:p w14:paraId="23D6883E"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$0.00468</w:t>
            </w:r>
          </w:p>
        </w:tc>
        <w:tc>
          <w:tcPr>
            <w:tcW w:w="3117" w:type="dxa"/>
            <w:tcMar>
              <w:top w:w="15" w:type="dxa"/>
              <w:left w:w="15" w:type="dxa"/>
              <w:right w:w="15" w:type="dxa"/>
            </w:tcMar>
          </w:tcPr>
          <w:p w14:paraId="78356CF7"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3.6%</w:t>
            </w:r>
          </w:p>
        </w:tc>
      </w:tr>
      <w:tr w:rsidR="00941D16" w:rsidRPr="0053482C" w14:paraId="02260183" w14:textId="77777777" w:rsidTr="001F3749">
        <w:tc>
          <w:tcPr>
            <w:tcW w:w="3116" w:type="dxa"/>
            <w:tcMar>
              <w:top w:w="15" w:type="dxa"/>
              <w:left w:w="15" w:type="dxa"/>
              <w:right w:w="15" w:type="dxa"/>
            </w:tcMar>
            <w:vAlign w:val="bottom"/>
          </w:tcPr>
          <w:p w14:paraId="4DA41AC8" w14:textId="4DCBD9B2" w:rsidR="00941D16" w:rsidRPr="0053482C" w:rsidRDefault="00E84295" w:rsidP="001F3749">
            <w:pPr>
              <w:rPr>
                <w:rFonts w:ascii="Times New Roman" w:eastAsia="Aptos Narrow" w:hAnsi="Times New Roman" w:cs="Times New Roman"/>
                <w:color w:val="000000" w:themeColor="text1"/>
                <w:sz w:val="22"/>
                <w:szCs w:val="22"/>
                <w:lang w:val="es-ES_tradnl"/>
              </w:rPr>
            </w:pPr>
            <w:r w:rsidRPr="0053482C">
              <w:rPr>
                <w:rFonts w:ascii="Times New Roman" w:eastAsia="Aptos Narrow" w:hAnsi="Times New Roman" w:cs="Times New Roman"/>
                <w:color w:val="000000" w:themeColor="text1"/>
                <w:sz w:val="22"/>
                <w:szCs w:val="22"/>
                <w:lang w:val="es-ES_tradnl"/>
              </w:rPr>
              <w:t>Promedio no principal</w:t>
            </w:r>
          </w:p>
        </w:tc>
        <w:tc>
          <w:tcPr>
            <w:tcW w:w="3117" w:type="dxa"/>
            <w:tcMar>
              <w:top w:w="15" w:type="dxa"/>
              <w:left w:w="15" w:type="dxa"/>
              <w:right w:w="15" w:type="dxa"/>
            </w:tcMar>
          </w:tcPr>
          <w:p w14:paraId="2BA43C54"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$0.00658</w:t>
            </w:r>
          </w:p>
        </w:tc>
        <w:tc>
          <w:tcPr>
            <w:tcW w:w="3117" w:type="dxa"/>
            <w:tcMar>
              <w:top w:w="15" w:type="dxa"/>
              <w:left w:w="15" w:type="dxa"/>
              <w:right w:w="15" w:type="dxa"/>
            </w:tcMar>
          </w:tcPr>
          <w:p w14:paraId="56AB3BE7"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1.8%</w:t>
            </w:r>
          </w:p>
        </w:tc>
      </w:tr>
      <w:tr w:rsidR="00941D16" w:rsidRPr="0053482C" w14:paraId="4C1C3419" w14:textId="77777777" w:rsidTr="001F3749">
        <w:tc>
          <w:tcPr>
            <w:tcW w:w="3116" w:type="dxa"/>
            <w:tcMar>
              <w:top w:w="15" w:type="dxa"/>
              <w:left w:w="15" w:type="dxa"/>
              <w:right w:w="15" w:type="dxa"/>
            </w:tcMar>
            <w:vAlign w:val="bottom"/>
          </w:tcPr>
          <w:p w14:paraId="0714A3FC" w14:textId="77777777" w:rsidR="00941D16" w:rsidRPr="0053482C" w:rsidRDefault="00941D16" w:rsidP="001F3749">
            <w:pPr>
              <w:rPr>
                <w:rFonts w:ascii="Times New Roman" w:eastAsia="Aptos Narrow" w:hAnsi="Times New Roman" w:cs="Times New Roman"/>
                <w:color w:val="000000" w:themeColor="text1"/>
                <w:sz w:val="22"/>
                <w:szCs w:val="22"/>
                <w:lang w:val="es-ES_tradnl"/>
              </w:rPr>
            </w:pPr>
          </w:p>
        </w:tc>
        <w:tc>
          <w:tcPr>
            <w:tcW w:w="3117" w:type="dxa"/>
            <w:tcMar>
              <w:top w:w="15" w:type="dxa"/>
              <w:left w:w="15" w:type="dxa"/>
              <w:right w:w="15" w:type="dxa"/>
            </w:tcMar>
          </w:tcPr>
          <w:p w14:paraId="3DE3A02A"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 xml:space="preserve"> </w:t>
            </w:r>
          </w:p>
        </w:tc>
        <w:tc>
          <w:tcPr>
            <w:tcW w:w="3117" w:type="dxa"/>
            <w:tcMar>
              <w:top w:w="15" w:type="dxa"/>
              <w:left w:w="15" w:type="dxa"/>
              <w:right w:w="15" w:type="dxa"/>
            </w:tcMar>
          </w:tcPr>
          <w:p w14:paraId="60843CC5"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 xml:space="preserve"> </w:t>
            </w:r>
          </w:p>
        </w:tc>
      </w:tr>
      <w:tr w:rsidR="00941D16" w:rsidRPr="0053482C" w14:paraId="7AAF0D46" w14:textId="77777777" w:rsidTr="001F3749">
        <w:tc>
          <w:tcPr>
            <w:tcW w:w="3116" w:type="dxa"/>
            <w:tcMar>
              <w:top w:w="15" w:type="dxa"/>
              <w:left w:w="15" w:type="dxa"/>
              <w:right w:w="15" w:type="dxa"/>
            </w:tcMar>
            <w:vAlign w:val="bottom"/>
          </w:tcPr>
          <w:p w14:paraId="71077773" w14:textId="43AE431B" w:rsidR="00941D16" w:rsidRPr="0053482C" w:rsidRDefault="00E84295" w:rsidP="001F3749">
            <w:pPr>
              <w:rPr>
                <w:rFonts w:ascii="Times New Roman" w:hAnsi="Times New Roman" w:cs="Times New Roman"/>
                <w:b/>
                <w:bCs/>
                <w:sz w:val="22"/>
                <w:szCs w:val="22"/>
                <w:lang w:val="es-ES_tradnl"/>
              </w:rPr>
            </w:pPr>
            <w:r w:rsidRPr="0053482C">
              <w:rPr>
                <w:rFonts w:ascii="Times New Roman" w:hAnsi="Times New Roman" w:cs="Times New Roman"/>
                <w:b/>
                <w:bCs/>
                <w:sz w:val="22"/>
                <w:szCs w:val="22"/>
                <w:lang w:val="es-ES_tradnl"/>
              </w:rPr>
              <w:t>Total del sistema</w:t>
            </w:r>
          </w:p>
        </w:tc>
        <w:tc>
          <w:tcPr>
            <w:tcW w:w="3117" w:type="dxa"/>
            <w:tcMar>
              <w:top w:w="15" w:type="dxa"/>
              <w:left w:w="15" w:type="dxa"/>
              <w:right w:w="15" w:type="dxa"/>
            </w:tcMar>
          </w:tcPr>
          <w:p w14:paraId="467E64D9"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$0.15222</w:t>
            </w:r>
          </w:p>
        </w:tc>
        <w:tc>
          <w:tcPr>
            <w:tcW w:w="3117" w:type="dxa"/>
            <w:tcMar>
              <w:top w:w="15" w:type="dxa"/>
              <w:left w:w="15" w:type="dxa"/>
              <w:right w:w="15" w:type="dxa"/>
            </w:tcMar>
          </w:tcPr>
          <w:p w14:paraId="79EFAC39" w14:textId="77777777" w:rsidR="00941D16" w:rsidRPr="0053482C" w:rsidDel="78EB06FC" w:rsidRDefault="00941D16" w:rsidP="001F3749">
            <w:pPr>
              <w:jc w:val="center"/>
              <w:rPr>
                <w:rFonts w:ascii="Times New Roman" w:hAnsi="Times New Roman" w:cs="Times New Roman"/>
                <w:sz w:val="22"/>
                <w:szCs w:val="22"/>
                <w:lang w:val="es-ES_tradnl"/>
              </w:rPr>
            </w:pPr>
            <w:r w:rsidRPr="0053482C">
              <w:rPr>
                <w:rFonts w:ascii="Times New Roman" w:hAnsi="Times New Roman" w:cs="Times New Roman"/>
                <w:sz w:val="22"/>
                <w:szCs w:val="22"/>
                <w:lang w:val="es-ES_tradnl"/>
              </w:rPr>
              <w:t>9.3%</w:t>
            </w:r>
          </w:p>
        </w:tc>
      </w:tr>
    </w:tbl>
    <w:p w14:paraId="3FC58935" w14:textId="77777777" w:rsidR="00581B86" w:rsidRPr="0053482C" w:rsidRDefault="00581B86" w:rsidP="00DF5E3F">
      <w:pPr>
        <w:contextualSpacing/>
        <w:rPr>
          <w:rFonts w:ascii="Times New Roman" w:hAnsi="Times New Roman" w:cs="Times New Roman"/>
          <w:lang w:val="es-ES_tradnl"/>
        </w:rPr>
      </w:pPr>
    </w:p>
    <w:p w14:paraId="79B1F3C1" w14:textId="33DC52FD" w:rsidR="00DF5E3F" w:rsidRPr="0053482C" w:rsidRDefault="0072054E" w:rsidP="00DF5E3F">
      <w:pPr>
        <w:contextualSpacing/>
        <w:rPr>
          <w:rFonts w:ascii="Times New Roman" w:hAnsi="Times New Roman" w:cs="Times New Roman"/>
          <w:lang w:val="es-ES_tradnl"/>
        </w:rPr>
      </w:pPr>
      <w:r w:rsidRPr="0053482C">
        <w:rPr>
          <w:rFonts w:ascii="Times New Roman" w:hAnsi="Times New Roman" w:cs="Times New Roman"/>
          <w:lang w:val="es-ES_tradnl"/>
        </w:rPr>
        <w:t>De aprobarse, SDG&amp;E implementará nuevos ingresos en las tarifas a partir del 1 de enero de 2028</w:t>
      </w:r>
      <w:r w:rsidR="00DF5E3F" w:rsidRPr="0053482C">
        <w:rPr>
          <w:rFonts w:ascii="Times New Roman" w:hAnsi="Times New Roman" w:cs="Times New Roman"/>
          <w:lang w:val="es-ES_tradnl"/>
        </w:rPr>
        <w:t>.</w:t>
      </w:r>
    </w:p>
    <w:p w14:paraId="7E5F518C" w14:textId="77777777" w:rsidR="00B53775" w:rsidRPr="00B53775" w:rsidRDefault="00B53775" w:rsidP="5ED2E5E8">
      <w:pPr>
        <w:contextualSpacing/>
        <w:rPr>
          <w:rFonts w:ascii="Times New Roman" w:hAnsi="Times New Roman" w:cs="Times New Roman"/>
          <w:b/>
          <w:bCs/>
          <w:sz w:val="20"/>
          <w:szCs w:val="20"/>
          <w:lang w:val="es-ES_tradnl"/>
        </w:rPr>
      </w:pPr>
    </w:p>
    <w:p w14:paraId="4757E540" w14:textId="12CDDB36" w:rsidR="00313845" w:rsidRPr="0053482C" w:rsidRDefault="0072054E" w:rsidP="5ED2E5E8">
      <w:pPr>
        <w:contextualSpacing/>
        <w:rPr>
          <w:rFonts w:ascii="Times New Roman" w:hAnsi="Times New Roman" w:cs="Times New Roman"/>
          <w:b/>
          <w:bCs/>
          <w:lang w:val="es-ES_tradnl"/>
        </w:rPr>
      </w:pPr>
      <w:r w:rsidRPr="0053482C">
        <w:rPr>
          <w:rFonts w:ascii="Times New Roman" w:hAnsi="Times New Roman" w:cs="Times New Roman"/>
          <w:b/>
          <w:bCs/>
          <w:lang w:val="es-ES_tradnl"/>
        </w:rPr>
        <w:t>¿Cómo afectaría esto al cliente residencial promedio?</w:t>
      </w:r>
    </w:p>
    <w:p w14:paraId="2855A95A" w14:textId="375F2AE7" w:rsidR="00221B7F" w:rsidRPr="0053482C" w:rsidRDefault="00012A28" w:rsidP="00221B7F">
      <w:pPr>
        <w:contextualSpacing/>
        <w:rPr>
          <w:rFonts w:ascii="Times New Roman" w:hAnsi="Times New Roman" w:cs="Times New Roman"/>
          <w:lang w:val="es-ES_tradnl"/>
        </w:rPr>
      </w:pPr>
      <w:r w:rsidRPr="0053482C">
        <w:rPr>
          <w:rFonts w:ascii="Times New Roman" w:hAnsi="Times New Roman" w:cs="Times New Roman"/>
          <w:lang w:val="es-ES_tradnl"/>
        </w:rPr>
        <w:t>En cuanto al servicio eléctrico, si se aprueba la solicitud, un cliente residencial típico con servicio en paquete que consume 400 kWh al mes vería un aumento en su factura de aproximadamente $14.03 al mes. El impacto real variará según el consumo, el territorio de referencia y otros factores.</w:t>
      </w:r>
    </w:p>
    <w:p w14:paraId="19BD8E4A" w14:textId="77777777" w:rsidR="00644BC2" w:rsidRPr="00B53775" w:rsidRDefault="00644BC2" w:rsidP="00221B7F">
      <w:pPr>
        <w:contextualSpacing/>
        <w:rPr>
          <w:rFonts w:ascii="Times New Roman" w:hAnsi="Times New Roman" w:cs="Times New Roman"/>
          <w:b/>
          <w:bCs/>
          <w:sz w:val="10"/>
          <w:szCs w:val="10"/>
          <w:lang w:val="es-ES_tradnl"/>
        </w:rPr>
      </w:pPr>
    </w:p>
    <w:p w14:paraId="794E9AF0" w14:textId="659C68F2" w:rsidR="00221B7F" w:rsidRPr="0053482C" w:rsidRDefault="008A3F84" w:rsidP="00221B7F">
      <w:pPr>
        <w:contextualSpacing/>
        <w:rPr>
          <w:rFonts w:ascii="Times New Roman" w:hAnsi="Times New Roman" w:cs="Times New Roman"/>
          <w:lang w:val="es-ES_tradnl"/>
        </w:rPr>
      </w:pPr>
      <w:r w:rsidRPr="0053482C">
        <w:rPr>
          <w:rFonts w:ascii="Times New Roman" w:hAnsi="Times New Roman" w:cs="Times New Roman"/>
          <w:lang w:val="es-ES_tradnl"/>
        </w:rPr>
        <w:t>Con respecto al servicio de gas, si se aprueba la solicitud, un cliente residencial promedio que consume 24 termias al mes vería un aumento en su factura de aproximadamente $8.45 al mes</w:t>
      </w:r>
      <w:r w:rsidR="00221B7F" w:rsidRPr="0053482C">
        <w:rPr>
          <w:rFonts w:ascii="Times New Roman" w:hAnsi="Times New Roman" w:cs="Times New Roman"/>
          <w:lang w:val="es-ES_tradnl"/>
        </w:rPr>
        <w:t>.</w:t>
      </w:r>
      <w:r w:rsidR="00A75EBF" w:rsidRPr="0053482C">
        <w:rPr>
          <w:rStyle w:val="FootnoteReference"/>
          <w:rFonts w:ascii="Times New Roman" w:hAnsi="Times New Roman" w:cs="Times New Roman"/>
          <w:lang w:val="es-ES_tradnl"/>
        </w:rPr>
        <w:footnoteReference w:id="2"/>
      </w:r>
      <w:r w:rsidR="00221B7F" w:rsidRPr="0053482C">
        <w:rPr>
          <w:rFonts w:ascii="Times New Roman" w:hAnsi="Times New Roman" w:cs="Times New Roman"/>
          <w:lang w:val="es-ES_tradnl"/>
        </w:rPr>
        <w:t xml:space="preserve"> </w:t>
      </w:r>
      <w:r w:rsidRPr="0053482C">
        <w:rPr>
          <w:rFonts w:ascii="Times New Roman" w:hAnsi="Times New Roman" w:cs="Times New Roman"/>
          <w:lang w:val="es-ES_tradnl"/>
        </w:rPr>
        <w:t>El impacto real variará según el consumo, el territorio de referencia y otros factores</w:t>
      </w:r>
      <w:r w:rsidR="00221B7F" w:rsidRPr="0053482C">
        <w:rPr>
          <w:rFonts w:ascii="Times New Roman" w:hAnsi="Times New Roman" w:cs="Times New Roman"/>
          <w:lang w:val="es-ES_tradnl"/>
        </w:rPr>
        <w:t>.</w:t>
      </w:r>
    </w:p>
    <w:p w14:paraId="044A2E96" w14:textId="77777777" w:rsidR="00AB396C" w:rsidRPr="0053482C" w:rsidRDefault="00AB396C" w:rsidP="5ED2E5E8">
      <w:pPr>
        <w:contextualSpacing/>
        <w:rPr>
          <w:rFonts w:ascii="Times New Roman" w:hAnsi="Times New Roman" w:cs="Times New Roman"/>
          <w:b/>
          <w:bCs/>
          <w:lang w:val="es-ES_tradnl"/>
        </w:rPr>
      </w:pPr>
    </w:p>
    <w:p w14:paraId="61AFD8B0" w14:textId="1ED112DB" w:rsidR="00875FAB" w:rsidRPr="0053482C" w:rsidRDefault="008A3F84" w:rsidP="5ED2E5E8">
      <w:pPr>
        <w:contextualSpacing/>
        <w:rPr>
          <w:rFonts w:ascii="Times New Roman" w:hAnsi="Times New Roman" w:cs="Times New Roman"/>
          <w:b/>
          <w:bCs/>
          <w:lang w:val="es-ES_tradnl"/>
        </w:rPr>
      </w:pPr>
      <w:r w:rsidRPr="0053482C">
        <w:rPr>
          <w:rFonts w:ascii="Times New Roman" w:hAnsi="Times New Roman" w:cs="Times New Roman"/>
          <w:b/>
          <w:bCs/>
          <w:lang w:val="es-ES_tradnl"/>
        </w:rPr>
        <w:t>Información adicional</w:t>
      </w:r>
    </w:p>
    <w:p w14:paraId="592753F1" w14:textId="2E40A263" w:rsidR="00875FAB" w:rsidRPr="0053482C" w:rsidRDefault="00195B29" w:rsidP="5ED2E5E8">
      <w:pPr>
        <w:contextualSpacing/>
        <w:rPr>
          <w:rFonts w:ascii="Times New Roman" w:hAnsi="Times New Roman" w:cs="Times New Roman"/>
          <w:lang w:val="es-ES_tradnl"/>
        </w:rPr>
      </w:pPr>
      <w:r w:rsidRPr="0053482C">
        <w:rPr>
          <w:rFonts w:ascii="Times New Roman" w:hAnsi="Times New Roman" w:cs="Times New Roman"/>
          <w:lang w:val="es-ES_tradnl"/>
        </w:rPr>
        <w:t>Un juez de derecho administrativo llevará a cabo audiencias, evaluará las pruebas presentadas, los testimonios y los comentarios del público antes de redactar una propuesta de decisión en relación con esta solicitud. Posteriormente, los Comisionados de la CPUC votarán una decisión definitiva en una reunión pública</w:t>
      </w:r>
      <w:r w:rsidR="00875FAB" w:rsidRPr="0053482C">
        <w:rPr>
          <w:rFonts w:ascii="Times New Roman" w:hAnsi="Times New Roman" w:cs="Times New Roman"/>
          <w:lang w:val="es-ES_tradnl"/>
        </w:rPr>
        <w:t>.</w:t>
      </w:r>
    </w:p>
    <w:p w14:paraId="11D9CBCA" w14:textId="1E875FCB" w:rsidR="5ED2E5E8" w:rsidRPr="00B53775" w:rsidRDefault="5ED2E5E8" w:rsidP="5ED2E5E8">
      <w:pPr>
        <w:contextualSpacing/>
        <w:rPr>
          <w:rFonts w:ascii="Times New Roman" w:hAnsi="Times New Roman" w:cs="Times New Roman"/>
          <w:sz w:val="20"/>
          <w:szCs w:val="20"/>
          <w:lang w:val="es-ES_tradnl"/>
        </w:rPr>
      </w:pPr>
    </w:p>
    <w:p w14:paraId="67F0E739" w14:textId="008D7539" w:rsidR="00875FAB" w:rsidRPr="0053482C" w:rsidRDefault="00C74520" w:rsidP="009C6030">
      <w:pPr>
        <w:contextualSpacing/>
        <w:rPr>
          <w:rFonts w:ascii="Times New Roman" w:hAnsi="Times New Roman" w:cs="Times New Roman"/>
          <w:lang w:val="es-ES_tradnl"/>
        </w:rPr>
      </w:pPr>
      <w:r w:rsidRPr="0053482C">
        <w:rPr>
          <w:rFonts w:ascii="Times New Roman" w:hAnsi="Times New Roman" w:cs="Times New Roman"/>
          <w:lang w:val="es-ES_tradnl"/>
        </w:rPr>
        <w:t xml:space="preserve">Puede obtener más información sobre la solicitud de la empresa de servicios públicos y presentar sus comentarios públicos visitando </w:t>
      </w:r>
      <w:r w:rsidR="331FF5B4" w:rsidRPr="0053482C">
        <w:rPr>
          <w:rFonts w:ascii="Times New Roman" w:hAnsi="Times New Roman" w:cs="Times New Roman"/>
          <w:lang w:val="es-ES_tradnl"/>
        </w:rPr>
        <w:t>[</w:t>
      </w:r>
      <w:hyperlink r:id="rId11">
        <w:r w:rsidR="5A5E1251" w:rsidRPr="0053482C">
          <w:rPr>
            <w:rStyle w:val="Hyperlink"/>
            <w:rFonts w:ascii="Times New Roman" w:hAnsi="Times New Roman" w:cs="Times New Roman"/>
            <w:lang w:val="es-ES_tradnl"/>
          </w:rPr>
          <w:t>apps.cpuc.ca.gov/</w:t>
        </w:r>
        <w:r w:rsidR="7E4D709D" w:rsidRPr="0053482C">
          <w:rPr>
            <w:rStyle w:val="Hyperlink"/>
            <w:rFonts w:ascii="Times New Roman" w:hAnsi="Times New Roman" w:cs="Times New Roman"/>
            <w:lang w:val="es-ES_tradnl"/>
          </w:rPr>
          <w:t>c</w:t>
        </w:r>
        <w:r w:rsidR="5A5E1251" w:rsidRPr="0053482C">
          <w:rPr>
            <w:rStyle w:val="Hyperlink"/>
            <w:rFonts w:ascii="Times New Roman" w:hAnsi="Times New Roman" w:cs="Times New Roman"/>
            <w:lang w:val="es-ES_tradnl"/>
          </w:rPr>
          <w:t>/A</w:t>
        </w:r>
        <w:r w:rsidR="00B9248D" w:rsidRPr="0053482C">
          <w:rPr>
            <w:rStyle w:val="Hyperlink"/>
            <w:rFonts w:ascii="Times New Roman" w:hAnsi="Times New Roman" w:cs="Times New Roman"/>
            <w:lang w:val="es-ES_tradnl"/>
          </w:rPr>
          <w:t>2606</w:t>
        </w:r>
        <w:r w:rsidR="00DC4A2A" w:rsidRPr="0053482C">
          <w:rPr>
            <w:rStyle w:val="Hyperlink"/>
            <w:rFonts w:ascii="Interstate-Bold" w:hAnsi="Interstate-Bold" w:cs="Interstate-Bold"/>
            <w:b/>
            <w:bCs/>
            <w:kern w:val="0"/>
            <w:sz w:val="20"/>
            <w:szCs w:val="20"/>
            <w:lang w:val="es-ES_tradnl"/>
          </w:rPr>
          <w:t xml:space="preserve"> </w:t>
        </w:r>
        <w:r w:rsidR="00DC4A2A" w:rsidRPr="0053482C">
          <w:rPr>
            <w:rStyle w:val="Hyperlink"/>
            <w:rFonts w:ascii="Times New Roman" w:hAnsi="Times New Roman" w:cs="Times New Roman"/>
            <w:lang w:val="es-ES_tradnl"/>
          </w:rPr>
          <w:t>015</w:t>
        </w:r>
      </w:hyperlink>
      <w:r w:rsidR="331FF5B4" w:rsidRPr="0053482C">
        <w:rPr>
          <w:rFonts w:ascii="Times New Roman" w:hAnsi="Times New Roman" w:cs="Times New Roman"/>
          <w:lang w:val="es-ES_tradnl"/>
        </w:rPr>
        <w:t>]</w:t>
      </w:r>
      <w:r w:rsidR="5A5E1251" w:rsidRPr="0053482C">
        <w:rPr>
          <w:rFonts w:ascii="Times New Roman" w:hAnsi="Times New Roman" w:cs="Times New Roman"/>
          <w:lang w:val="es-ES_tradnl"/>
        </w:rPr>
        <w:t>.</w:t>
      </w:r>
      <w:r w:rsidR="411E3E74" w:rsidRPr="0053482C">
        <w:rPr>
          <w:rFonts w:ascii="Times New Roman" w:hAnsi="Times New Roman" w:cs="Times New Roman"/>
          <w:lang w:val="es-ES_tradnl"/>
        </w:rPr>
        <w:t xml:space="preserve"> </w:t>
      </w:r>
      <w:r w:rsidR="009C6030" w:rsidRPr="0053482C">
        <w:rPr>
          <w:rFonts w:ascii="Times New Roman" w:hAnsi="Times New Roman" w:cs="Times New Roman"/>
          <w:lang w:val="es-ES_tradnl"/>
        </w:rPr>
        <w:t xml:space="preserve">Si tiene alguna pregunta sobre cómo participar en asuntos relacionados con la CPUC, puede comunicarse con la Oficina del Asesor Público enviando un mensaje de correo electrónico a </w:t>
      </w:r>
      <w:hyperlink r:id="rId12">
        <w:r w:rsidR="51FEB5C4" w:rsidRPr="0053482C">
          <w:rPr>
            <w:rStyle w:val="Hyperlink"/>
            <w:rFonts w:ascii="Times New Roman" w:hAnsi="Times New Roman" w:cs="Times New Roman"/>
            <w:lang w:val="es-ES_tradnl"/>
          </w:rPr>
          <w:t>Public.Advisor@cpuc.ca.gov</w:t>
        </w:r>
      </w:hyperlink>
      <w:r w:rsidR="51FEB5C4" w:rsidRPr="0053482C">
        <w:rPr>
          <w:rFonts w:ascii="Times New Roman" w:hAnsi="Times New Roman" w:cs="Times New Roman"/>
          <w:lang w:val="es-ES_tradnl"/>
        </w:rPr>
        <w:t>,</w:t>
      </w:r>
      <w:r w:rsidR="009C6030" w:rsidRPr="0053482C">
        <w:rPr>
          <w:rFonts w:ascii="Times New Roman" w:hAnsi="Times New Roman" w:cs="Times New Roman"/>
          <w:lang w:val="es-ES_tradnl"/>
        </w:rPr>
        <w:t xml:space="preserve"> llamando al</w:t>
      </w:r>
      <w:r w:rsidR="51FEB5C4" w:rsidRPr="0053482C">
        <w:rPr>
          <w:rFonts w:ascii="Times New Roman" w:hAnsi="Times New Roman" w:cs="Times New Roman"/>
          <w:lang w:val="es-ES_tradnl"/>
        </w:rPr>
        <w:t xml:space="preserve"> </w:t>
      </w:r>
      <w:r w:rsidR="411E3E74" w:rsidRPr="0053482C">
        <w:rPr>
          <w:rFonts w:ascii="Times New Roman" w:hAnsi="Times New Roman" w:cs="Times New Roman"/>
          <w:lang w:val="es-ES_tradnl"/>
        </w:rPr>
        <w:t>1-866-8</w:t>
      </w:r>
      <w:r w:rsidR="4DB574C3" w:rsidRPr="0053482C">
        <w:rPr>
          <w:rFonts w:ascii="Times New Roman" w:hAnsi="Times New Roman" w:cs="Times New Roman"/>
          <w:lang w:val="es-ES_tradnl"/>
        </w:rPr>
        <w:t>49</w:t>
      </w:r>
      <w:r w:rsidR="411E3E74" w:rsidRPr="0053482C">
        <w:rPr>
          <w:rFonts w:ascii="Times New Roman" w:hAnsi="Times New Roman" w:cs="Times New Roman"/>
          <w:lang w:val="es-ES_tradnl"/>
        </w:rPr>
        <w:t>-8390</w:t>
      </w:r>
      <w:r w:rsidR="2EA1335E" w:rsidRPr="0053482C">
        <w:rPr>
          <w:rFonts w:ascii="Times New Roman" w:hAnsi="Times New Roman" w:cs="Times New Roman"/>
          <w:lang w:val="es-ES_tradnl"/>
        </w:rPr>
        <w:t xml:space="preserve"> </w:t>
      </w:r>
      <w:r w:rsidR="51FEB5C4" w:rsidRPr="0053482C">
        <w:rPr>
          <w:rFonts w:ascii="Times New Roman" w:hAnsi="Times New Roman" w:cs="Times New Roman"/>
          <w:lang w:val="es-ES_tradnl"/>
        </w:rPr>
        <w:t>o</w:t>
      </w:r>
      <w:r w:rsidR="009C6030" w:rsidRPr="0053482C">
        <w:rPr>
          <w:rFonts w:ascii="Times New Roman" w:hAnsi="Times New Roman" w:cs="Times New Roman"/>
          <w:lang w:val="es-ES_tradnl"/>
        </w:rPr>
        <w:t xml:space="preserve"> escribiendo a</w:t>
      </w:r>
      <w:r w:rsidR="51FEB5C4" w:rsidRPr="0053482C">
        <w:rPr>
          <w:rFonts w:ascii="Times New Roman" w:hAnsi="Times New Roman" w:cs="Times New Roman"/>
          <w:lang w:val="es-ES_tradnl"/>
        </w:rPr>
        <w:t xml:space="preserve"> </w:t>
      </w:r>
      <w:r w:rsidR="2EA1335E" w:rsidRPr="0053482C">
        <w:rPr>
          <w:rFonts w:ascii="Times New Roman" w:hAnsi="Times New Roman" w:cs="Times New Roman"/>
          <w:lang w:val="es-ES_tradnl"/>
        </w:rPr>
        <w:t>505 Van Ness Ave.,</w:t>
      </w:r>
      <w:r w:rsidR="62A0842D" w:rsidRPr="0053482C">
        <w:rPr>
          <w:rFonts w:ascii="Times New Roman" w:hAnsi="Times New Roman" w:cs="Times New Roman"/>
          <w:lang w:val="es-ES_tradnl"/>
        </w:rPr>
        <w:t xml:space="preserve"> San Francisco, CA 94102</w:t>
      </w:r>
      <w:r w:rsidR="411E3E74" w:rsidRPr="0053482C">
        <w:rPr>
          <w:rFonts w:ascii="Times New Roman" w:hAnsi="Times New Roman" w:cs="Times New Roman"/>
          <w:lang w:val="es-ES_tradnl"/>
        </w:rPr>
        <w:t>.</w:t>
      </w:r>
      <w:r w:rsidR="0906A694" w:rsidRPr="0053482C">
        <w:rPr>
          <w:rFonts w:ascii="Times New Roman" w:hAnsi="Times New Roman" w:cs="Times New Roman"/>
          <w:lang w:val="es-ES_tradnl"/>
        </w:rPr>
        <w:t xml:space="preserve"> </w:t>
      </w:r>
      <w:r w:rsidR="002539B2" w:rsidRPr="0053482C">
        <w:rPr>
          <w:rFonts w:ascii="Times New Roman" w:hAnsi="Times New Roman" w:cs="Times New Roman"/>
          <w:lang w:val="es-ES_tradnl"/>
        </w:rPr>
        <w:t xml:space="preserve">Por favor, haga referencia a la solicitud [A.26-06-015] en cualquier comunicación que </w:t>
      </w:r>
      <w:r w:rsidR="00C336F1">
        <w:rPr>
          <w:rFonts w:ascii="Times New Roman" w:hAnsi="Times New Roman" w:cs="Times New Roman"/>
          <w:lang w:val="es-ES_tradnl"/>
        </w:rPr>
        <w:t>sos</w:t>
      </w:r>
      <w:r w:rsidR="002539B2" w:rsidRPr="0053482C">
        <w:rPr>
          <w:rFonts w:ascii="Times New Roman" w:hAnsi="Times New Roman" w:cs="Times New Roman"/>
          <w:lang w:val="es-ES_tradnl"/>
        </w:rPr>
        <w:t>tenga con la CPUC.</w:t>
      </w:r>
      <w:r w:rsidR="0906A694" w:rsidRPr="0053482C">
        <w:rPr>
          <w:rFonts w:ascii="Times New Roman" w:hAnsi="Times New Roman" w:cs="Times New Roman"/>
          <w:lang w:val="es-ES_tradnl"/>
        </w:rPr>
        <w:t xml:space="preserve"> </w:t>
      </w:r>
    </w:p>
    <w:p w14:paraId="1B94F838" w14:textId="77777777" w:rsidR="00B53775" w:rsidRDefault="00B53775" w:rsidP="5ED2E5E8">
      <w:pPr>
        <w:contextualSpacing/>
        <w:rPr>
          <w:rFonts w:ascii="Times New Roman" w:hAnsi="Times New Roman" w:cs="Times New Roman"/>
          <w:b/>
          <w:bCs/>
          <w:lang w:val="es-ES_tradnl"/>
        </w:rPr>
      </w:pPr>
    </w:p>
    <w:p w14:paraId="48BFE3C5" w14:textId="1B90C2FC" w:rsidR="00CE70BF" w:rsidRPr="0053482C" w:rsidRDefault="00C162E8" w:rsidP="5ED2E5E8">
      <w:pPr>
        <w:contextualSpacing/>
        <w:rPr>
          <w:rFonts w:ascii="Times New Roman" w:hAnsi="Times New Roman" w:cs="Times New Roman"/>
          <w:b/>
          <w:bCs/>
          <w:lang w:val="es-ES_tradnl"/>
        </w:rPr>
      </w:pPr>
      <w:r w:rsidRPr="0053482C">
        <w:rPr>
          <w:rFonts w:ascii="Times New Roman" w:hAnsi="Times New Roman" w:cs="Times New Roman"/>
          <w:b/>
          <w:bCs/>
          <w:lang w:val="es-ES_tradnl"/>
        </w:rPr>
        <w:t>Preguntas sobre la solicitud</w:t>
      </w:r>
    </w:p>
    <w:p w14:paraId="2F0B4A06" w14:textId="288A4B46" w:rsidR="00704A9D" w:rsidRPr="0053482C" w:rsidRDefault="0053482C" w:rsidP="0053482C">
      <w:pPr>
        <w:contextualSpacing/>
        <w:rPr>
          <w:rFonts w:ascii="Times New Roman" w:hAnsi="Times New Roman" w:cs="Times New Roman"/>
          <w:lang w:val="es-ES_tradnl"/>
        </w:rPr>
      </w:pPr>
      <w:r w:rsidRPr="0053482C">
        <w:rPr>
          <w:rFonts w:ascii="Times New Roman" w:hAnsi="Times New Roman" w:cs="Times New Roman"/>
          <w:lang w:val="es-ES_tradnl"/>
        </w:rPr>
        <w:t xml:space="preserve">Si tiene alguna pregunta </w:t>
      </w:r>
      <w:r>
        <w:rPr>
          <w:rFonts w:ascii="Times New Roman" w:hAnsi="Times New Roman" w:cs="Times New Roman"/>
          <w:lang w:val="es-ES_tradnl"/>
        </w:rPr>
        <w:t xml:space="preserve">acerca de la presente </w:t>
      </w:r>
      <w:r w:rsidRPr="0053482C">
        <w:rPr>
          <w:rFonts w:ascii="Times New Roman" w:hAnsi="Times New Roman" w:cs="Times New Roman"/>
          <w:lang w:val="es-ES_tradnl"/>
        </w:rPr>
        <w:t xml:space="preserve">solicitud, póngase en contacto con San Diego Gas &amp; Electric enviando un mensaje de correo electrónico a </w:t>
      </w:r>
      <w:hyperlink r:id="rId13">
        <w:r w:rsidR="63386C07" w:rsidRPr="0053482C">
          <w:rPr>
            <w:rStyle w:val="Hyperlink"/>
            <w:rFonts w:ascii="Times New Roman" w:hAnsi="Times New Roman" w:cs="Times New Roman"/>
            <w:lang w:val="es-ES_tradnl"/>
          </w:rPr>
          <w:t>GRCCaseMgmt@semprautilities.com</w:t>
        </w:r>
      </w:hyperlink>
      <w:r w:rsidR="7637F857" w:rsidRPr="0053482C">
        <w:rPr>
          <w:rFonts w:ascii="Times New Roman" w:hAnsi="Times New Roman" w:cs="Times New Roman"/>
          <w:lang w:val="es-ES_tradnl"/>
        </w:rPr>
        <w:t xml:space="preserve"> o</w:t>
      </w:r>
      <w:r w:rsidRPr="0053482C">
        <w:rPr>
          <w:rFonts w:ascii="Times New Roman" w:hAnsi="Times New Roman" w:cs="Times New Roman"/>
          <w:lang w:val="es-ES_tradnl"/>
        </w:rPr>
        <w:t xml:space="preserve"> escribiendo a</w:t>
      </w:r>
      <w:r w:rsidR="7637F857" w:rsidRPr="0053482C">
        <w:rPr>
          <w:rFonts w:ascii="Times New Roman" w:hAnsi="Times New Roman" w:cs="Times New Roman"/>
          <w:lang w:val="es-ES_tradnl"/>
        </w:rPr>
        <w:t xml:space="preserve"> </w:t>
      </w:r>
      <w:r w:rsidR="29584B94" w:rsidRPr="0053482C">
        <w:rPr>
          <w:rFonts w:ascii="Times New Roman" w:hAnsi="Times New Roman" w:cs="Times New Roman"/>
          <w:lang w:val="es-ES_tradnl"/>
        </w:rPr>
        <w:t>8330 Century Park Court,</w:t>
      </w:r>
      <w:r w:rsidR="49DF9300" w:rsidRPr="0053482C">
        <w:rPr>
          <w:rFonts w:ascii="Times New Roman" w:hAnsi="Times New Roman" w:cs="Times New Roman"/>
          <w:lang w:val="es-ES_tradnl"/>
        </w:rPr>
        <w:t xml:space="preserve"> CP31E, </w:t>
      </w:r>
      <w:r w:rsidR="29584B94" w:rsidRPr="0053482C">
        <w:rPr>
          <w:rFonts w:ascii="Times New Roman" w:hAnsi="Times New Roman" w:cs="Times New Roman"/>
          <w:lang w:val="es-ES_tradnl"/>
        </w:rPr>
        <w:t>San Diego, CA 92123.</w:t>
      </w:r>
    </w:p>
    <w:sectPr w:rsidR="00704A9D" w:rsidRPr="005348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7AED32F" w14:textId="77777777" w:rsidR="00D408ED" w:rsidRDefault="00D408ED">
      <w:pPr>
        <w:spacing w:after="0" w:line="240" w:lineRule="auto"/>
      </w:pPr>
      <w:r>
        <w:separator/>
      </w:r>
    </w:p>
  </w:endnote>
  <w:endnote w:type="continuationSeparator" w:id="0">
    <w:p w14:paraId="1CA2A944" w14:textId="77777777" w:rsidR="00D408ED" w:rsidRDefault="00D4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Interstate-Bold">
    <w:altName w:val="Calibri"/>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3BEEDE" w14:textId="77777777" w:rsidR="00D408ED" w:rsidRDefault="00D408ED">
      <w:pPr>
        <w:spacing w:after="0" w:line="240" w:lineRule="auto"/>
      </w:pPr>
      <w:r>
        <w:separator/>
      </w:r>
    </w:p>
  </w:footnote>
  <w:footnote w:type="continuationSeparator" w:id="0">
    <w:p w14:paraId="25F349C9" w14:textId="77777777" w:rsidR="00D408ED" w:rsidRDefault="00D408ED">
      <w:pPr>
        <w:spacing w:after="0" w:line="240" w:lineRule="auto"/>
      </w:pPr>
      <w:r>
        <w:continuationSeparator/>
      </w:r>
    </w:p>
  </w:footnote>
  <w:footnote w:id="1">
    <w:p w14:paraId="450120E7" w14:textId="490913E9" w:rsidR="00DB1FBA" w:rsidRPr="00983E25" w:rsidRDefault="00DB1FBA" w:rsidP="0028175A">
      <w:pPr>
        <w:pStyle w:val="FootnoteText"/>
        <w:rPr>
          <w:lang w:val="es-MX"/>
        </w:rPr>
      </w:pPr>
      <w:r w:rsidRPr="11013F55">
        <w:rPr>
          <w:rStyle w:val="FootnoteReference"/>
        </w:rPr>
        <w:footnoteRef/>
      </w:r>
      <w:r w:rsidR="00983E25" w:rsidRPr="00983E25">
        <w:rPr>
          <w:lang w:val="es-MX"/>
        </w:rPr>
        <w:t xml:space="preserve">El cambio </w:t>
      </w:r>
      <w:r w:rsidR="008A08EE">
        <w:rPr>
          <w:lang w:val="es-MX"/>
        </w:rPr>
        <w:t xml:space="preserve">refleja </w:t>
      </w:r>
      <w:r w:rsidR="004708D1">
        <w:rPr>
          <w:lang w:val="es-MX"/>
        </w:rPr>
        <w:t xml:space="preserve">el impacto </w:t>
      </w:r>
      <w:r w:rsidR="00983E25" w:rsidRPr="00983E25">
        <w:rPr>
          <w:lang w:val="es-MX"/>
        </w:rPr>
        <w:t>para un cliente que recibe su generación eléctrica de SDG&amp;E, también conocido como cliente "de servicio en paquete"</w:t>
      </w:r>
      <w:r w:rsidRPr="00983E25">
        <w:rPr>
          <w:lang w:val="es-MX"/>
        </w:rPr>
        <w:t xml:space="preserve">. </w:t>
      </w:r>
    </w:p>
  </w:footnote>
  <w:footnote w:id="2">
    <w:p w14:paraId="6B10667F" w14:textId="341E5130" w:rsidR="00A75EBF" w:rsidRPr="00C162E8" w:rsidRDefault="00A75EBF" w:rsidP="00A75EBF">
      <w:pPr>
        <w:pStyle w:val="FootnoteText"/>
        <w:rPr>
          <w:lang w:val="es-MX"/>
        </w:rPr>
      </w:pPr>
      <w:r>
        <w:rPr>
          <w:rStyle w:val="FootnoteReference"/>
        </w:rPr>
        <w:footnoteRef/>
      </w:r>
      <w:r w:rsidRPr="00C162E8">
        <w:rPr>
          <w:lang w:val="es-MX"/>
        </w:rPr>
        <w:t xml:space="preserve"> </w:t>
      </w:r>
      <w:r w:rsidR="00C162E8" w:rsidRPr="00C162E8">
        <w:rPr>
          <w:lang w:val="es-MX"/>
        </w:rPr>
        <w:t>El aumento en las facturas compara las facturas ilustrativas de 2027 con las proyectadas para 2028</w:t>
      </w:r>
      <w:r w:rsidRPr="00C162E8">
        <w:rPr>
          <w:lang w:val="es-MX"/>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8D57AB1"/>
    <w:multiLevelType w:val="hybridMultilevel"/>
    <w:tmpl w:val="66BA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95678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B0"/>
    <w:rsid w:val="000077B0"/>
    <w:rsid w:val="00010962"/>
    <w:rsid w:val="00012A28"/>
    <w:rsid w:val="0001377B"/>
    <w:rsid w:val="00013938"/>
    <w:rsid w:val="00022E7F"/>
    <w:rsid w:val="00040303"/>
    <w:rsid w:val="00047F58"/>
    <w:rsid w:val="0006642C"/>
    <w:rsid w:val="00074A1B"/>
    <w:rsid w:val="00077A5E"/>
    <w:rsid w:val="00085D5B"/>
    <w:rsid w:val="000861D5"/>
    <w:rsid w:val="00094AA1"/>
    <w:rsid w:val="000958ED"/>
    <w:rsid w:val="00095C26"/>
    <w:rsid w:val="0009674A"/>
    <w:rsid w:val="0009721C"/>
    <w:rsid w:val="000A486F"/>
    <w:rsid w:val="000B18D2"/>
    <w:rsid w:val="000B513C"/>
    <w:rsid w:val="000D145C"/>
    <w:rsid w:val="000D2C34"/>
    <w:rsid w:val="000E1768"/>
    <w:rsid w:val="000F6FDD"/>
    <w:rsid w:val="001040A8"/>
    <w:rsid w:val="0011185F"/>
    <w:rsid w:val="00114BDD"/>
    <w:rsid w:val="001300BF"/>
    <w:rsid w:val="00133C72"/>
    <w:rsid w:val="00144B7C"/>
    <w:rsid w:val="0015212D"/>
    <w:rsid w:val="0015640B"/>
    <w:rsid w:val="0016136B"/>
    <w:rsid w:val="0016503E"/>
    <w:rsid w:val="00175956"/>
    <w:rsid w:val="00177E0E"/>
    <w:rsid w:val="00194DC9"/>
    <w:rsid w:val="0019585B"/>
    <w:rsid w:val="00195B29"/>
    <w:rsid w:val="001A367D"/>
    <w:rsid w:val="001A51A8"/>
    <w:rsid w:val="001A67A8"/>
    <w:rsid w:val="001B0864"/>
    <w:rsid w:val="001B2DA1"/>
    <w:rsid w:val="001C4773"/>
    <w:rsid w:val="001C77CC"/>
    <w:rsid w:val="001F2369"/>
    <w:rsid w:val="001F35A2"/>
    <w:rsid w:val="001F3749"/>
    <w:rsid w:val="001F53D6"/>
    <w:rsid w:val="00214EF7"/>
    <w:rsid w:val="00217887"/>
    <w:rsid w:val="00221B7F"/>
    <w:rsid w:val="00222A98"/>
    <w:rsid w:val="00224CAE"/>
    <w:rsid w:val="00225BA8"/>
    <w:rsid w:val="00231CC7"/>
    <w:rsid w:val="002514BC"/>
    <w:rsid w:val="002534D7"/>
    <w:rsid w:val="002539B2"/>
    <w:rsid w:val="00263169"/>
    <w:rsid w:val="00265041"/>
    <w:rsid w:val="00274CA0"/>
    <w:rsid w:val="0027753D"/>
    <w:rsid w:val="0028175A"/>
    <w:rsid w:val="00281C6B"/>
    <w:rsid w:val="0028396E"/>
    <w:rsid w:val="0028621A"/>
    <w:rsid w:val="002935A5"/>
    <w:rsid w:val="002A0512"/>
    <w:rsid w:val="002A2B76"/>
    <w:rsid w:val="002A7BC1"/>
    <w:rsid w:val="002B0CF2"/>
    <w:rsid w:val="002B18F0"/>
    <w:rsid w:val="002B79DA"/>
    <w:rsid w:val="002C1A4D"/>
    <w:rsid w:val="002C4A8D"/>
    <w:rsid w:val="002E7EA3"/>
    <w:rsid w:val="002F18EB"/>
    <w:rsid w:val="002F4755"/>
    <w:rsid w:val="002F550A"/>
    <w:rsid w:val="00301C56"/>
    <w:rsid w:val="003046B7"/>
    <w:rsid w:val="0030478A"/>
    <w:rsid w:val="00311795"/>
    <w:rsid w:val="0031290B"/>
    <w:rsid w:val="00313845"/>
    <w:rsid w:val="00314589"/>
    <w:rsid w:val="00322A14"/>
    <w:rsid w:val="00325388"/>
    <w:rsid w:val="00334C03"/>
    <w:rsid w:val="00340B5E"/>
    <w:rsid w:val="003512E9"/>
    <w:rsid w:val="00360655"/>
    <w:rsid w:val="00361B0C"/>
    <w:rsid w:val="00361DAF"/>
    <w:rsid w:val="00364495"/>
    <w:rsid w:val="0036496B"/>
    <w:rsid w:val="00370E99"/>
    <w:rsid w:val="0037101E"/>
    <w:rsid w:val="003752C4"/>
    <w:rsid w:val="00380265"/>
    <w:rsid w:val="003802B4"/>
    <w:rsid w:val="00383367"/>
    <w:rsid w:val="00384564"/>
    <w:rsid w:val="003873AE"/>
    <w:rsid w:val="00391CB7"/>
    <w:rsid w:val="003A1D30"/>
    <w:rsid w:val="003A4A58"/>
    <w:rsid w:val="003B2663"/>
    <w:rsid w:val="003C25D6"/>
    <w:rsid w:val="003C57B0"/>
    <w:rsid w:val="003D02CA"/>
    <w:rsid w:val="003D5D6F"/>
    <w:rsid w:val="003D768D"/>
    <w:rsid w:val="003E76D3"/>
    <w:rsid w:val="00403BBF"/>
    <w:rsid w:val="00404393"/>
    <w:rsid w:val="00407E8D"/>
    <w:rsid w:val="00412D73"/>
    <w:rsid w:val="00413C13"/>
    <w:rsid w:val="0041575D"/>
    <w:rsid w:val="004178C7"/>
    <w:rsid w:val="00425B3D"/>
    <w:rsid w:val="0043793E"/>
    <w:rsid w:val="00441D62"/>
    <w:rsid w:val="00446DF4"/>
    <w:rsid w:val="00460850"/>
    <w:rsid w:val="004708D1"/>
    <w:rsid w:val="0048369D"/>
    <w:rsid w:val="00485A9E"/>
    <w:rsid w:val="00490D08"/>
    <w:rsid w:val="00491C83"/>
    <w:rsid w:val="004938B7"/>
    <w:rsid w:val="004A589A"/>
    <w:rsid w:val="004B340C"/>
    <w:rsid w:val="004B5C78"/>
    <w:rsid w:val="004C1297"/>
    <w:rsid w:val="004D05DF"/>
    <w:rsid w:val="004E171B"/>
    <w:rsid w:val="004E3975"/>
    <w:rsid w:val="004E7CD5"/>
    <w:rsid w:val="004F46BD"/>
    <w:rsid w:val="004F5319"/>
    <w:rsid w:val="00502DB8"/>
    <w:rsid w:val="005068F7"/>
    <w:rsid w:val="00514805"/>
    <w:rsid w:val="005216C8"/>
    <w:rsid w:val="00522E95"/>
    <w:rsid w:val="0053178E"/>
    <w:rsid w:val="0053482C"/>
    <w:rsid w:val="00545E4A"/>
    <w:rsid w:val="005602F9"/>
    <w:rsid w:val="005604E9"/>
    <w:rsid w:val="00561C68"/>
    <w:rsid w:val="00573089"/>
    <w:rsid w:val="00577351"/>
    <w:rsid w:val="00581B86"/>
    <w:rsid w:val="00591319"/>
    <w:rsid w:val="0059251F"/>
    <w:rsid w:val="00592925"/>
    <w:rsid w:val="00594816"/>
    <w:rsid w:val="005965AA"/>
    <w:rsid w:val="005A57A2"/>
    <w:rsid w:val="005B0880"/>
    <w:rsid w:val="005B2501"/>
    <w:rsid w:val="005B2FDA"/>
    <w:rsid w:val="005B30CF"/>
    <w:rsid w:val="005B39FA"/>
    <w:rsid w:val="005B5E3F"/>
    <w:rsid w:val="005C0C6A"/>
    <w:rsid w:val="005C5963"/>
    <w:rsid w:val="005C5C39"/>
    <w:rsid w:val="005D4CB0"/>
    <w:rsid w:val="005E1E3A"/>
    <w:rsid w:val="005E3B90"/>
    <w:rsid w:val="005E715D"/>
    <w:rsid w:val="005F1D51"/>
    <w:rsid w:val="005F3D55"/>
    <w:rsid w:val="00601121"/>
    <w:rsid w:val="00602AFA"/>
    <w:rsid w:val="0061592C"/>
    <w:rsid w:val="0061672D"/>
    <w:rsid w:val="006224C8"/>
    <w:rsid w:val="00622664"/>
    <w:rsid w:val="00633ED5"/>
    <w:rsid w:val="0064036F"/>
    <w:rsid w:val="00643181"/>
    <w:rsid w:val="00644BC2"/>
    <w:rsid w:val="00644FED"/>
    <w:rsid w:val="00653C13"/>
    <w:rsid w:val="006555F8"/>
    <w:rsid w:val="00660EA3"/>
    <w:rsid w:val="00664A25"/>
    <w:rsid w:val="006721DF"/>
    <w:rsid w:val="006768D1"/>
    <w:rsid w:val="00680C08"/>
    <w:rsid w:val="00694C37"/>
    <w:rsid w:val="006A0065"/>
    <w:rsid w:val="006B0614"/>
    <w:rsid w:val="006B570D"/>
    <w:rsid w:val="006B702E"/>
    <w:rsid w:val="006D1DAF"/>
    <w:rsid w:val="006D404E"/>
    <w:rsid w:val="006D6514"/>
    <w:rsid w:val="006E3DCB"/>
    <w:rsid w:val="006F111E"/>
    <w:rsid w:val="006F3CE9"/>
    <w:rsid w:val="00701B69"/>
    <w:rsid w:val="00701DF9"/>
    <w:rsid w:val="00704A9D"/>
    <w:rsid w:val="007120AF"/>
    <w:rsid w:val="007134B9"/>
    <w:rsid w:val="007134F5"/>
    <w:rsid w:val="007164A9"/>
    <w:rsid w:val="0072054E"/>
    <w:rsid w:val="0072666A"/>
    <w:rsid w:val="007335C0"/>
    <w:rsid w:val="00736928"/>
    <w:rsid w:val="00737CBA"/>
    <w:rsid w:val="00740B24"/>
    <w:rsid w:val="007465AA"/>
    <w:rsid w:val="00751203"/>
    <w:rsid w:val="00754DA4"/>
    <w:rsid w:val="00766A02"/>
    <w:rsid w:val="00767063"/>
    <w:rsid w:val="00767521"/>
    <w:rsid w:val="00770067"/>
    <w:rsid w:val="0077649A"/>
    <w:rsid w:val="007944DD"/>
    <w:rsid w:val="007D0EC3"/>
    <w:rsid w:val="007D67EE"/>
    <w:rsid w:val="007E5E2E"/>
    <w:rsid w:val="00807925"/>
    <w:rsid w:val="0081651B"/>
    <w:rsid w:val="00820B33"/>
    <w:rsid w:val="00822F06"/>
    <w:rsid w:val="00824B98"/>
    <w:rsid w:val="008314CD"/>
    <w:rsid w:val="00840992"/>
    <w:rsid w:val="00840D40"/>
    <w:rsid w:val="00842092"/>
    <w:rsid w:val="00844570"/>
    <w:rsid w:val="00851222"/>
    <w:rsid w:val="00852C21"/>
    <w:rsid w:val="00853059"/>
    <w:rsid w:val="00853948"/>
    <w:rsid w:val="00857A1E"/>
    <w:rsid w:val="00860013"/>
    <w:rsid w:val="008600BE"/>
    <w:rsid w:val="008601E5"/>
    <w:rsid w:val="008613F6"/>
    <w:rsid w:val="00863A6B"/>
    <w:rsid w:val="0086500C"/>
    <w:rsid w:val="008703E5"/>
    <w:rsid w:val="00875FAB"/>
    <w:rsid w:val="00886D9F"/>
    <w:rsid w:val="008A08EE"/>
    <w:rsid w:val="008A20B3"/>
    <w:rsid w:val="008A3F84"/>
    <w:rsid w:val="008A6A75"/>
    <w:rsid w:val="008A6AD2"/>
    <w:rsid w:val="008B4D3A"/>
    <w:rsid w:val="008B5C14"/>
    <w:rsid w:val="008B693B"/>
    <w:rsid w:val="008C2016"/>
    <w:rsid w:val="008C3EA6"/>
    <w:rsid w:val="008C63E3"/>
    <w:rsid w:val="008D0260"/>
    <w:rsid w:val="008E0FF1"/>
    <w:rsid w:val="008E4268"/>
    <w:rsid w:val="008F2FF9"/>
    <w:rsid w:val="009024FB"/>
    <w:rsid w:val="009123EE"/>
    <w:rsid w:val="0091369F"/>
    <w:rsid w:val="00921DB9"/>
    <w:rsid w:val="00925844"/>
    <w:rsid w:val="00931F6F"/>
    <w:rsid w:val="009334DF"/>
    <w:rsid w:val="00934E47"/>
    <w:rsid w:val="00941D16"/>
    <w:rsid w:val="00947E75"/>
    <w:rsid w:val="00956E2F"/>
    <w:rsid w:val="009657E4"/>
    <w:rsid w:val="00965EED"/>
    <w:rsid w:val="00966E92"/>
    <w:rsid w:val="0097090A"/>
    <w:rsid w:val="009725A7"/>
    <w:rsid w:val="00975ED6"/>
    <w:rsid w:val="00981298"/>
    <w:rsid w:val="00983E25"/>
    <w:rsid w:val="0098676A"/>
    <w:rsid w:val="00987279"/>
    <w:rsid w:val="009943B2"/>
    <w:rsid w:val="009A586F"/>
    <w:rsid w:val="009A7C1D"/>
    <w:rsid w:val="009C20D0"/>
    <w:rsid w:val="009C6030"/>
    <w:rsid w:val="009D11DE"/>
    <w:rsid w:val="009D5D50"/>
    <w:rsid w:val="009D777D"/>
    <w:rsid w:val="009E2F91"/>
    <w:rsid w:val="009E6E27"/>
    <w:rsid w:val="009E78B8"/>
    <w:rsid w:val="009F44A9"/>
    <w:rsid w:val="00A031EC"/>
    <w:rsid w:val="00A06650"/>
    <w:rsid w:val="00A07438"/>
    <w:rsid w:val="00A076BB"/>
    <w:rsid w:val="00A155A8"/>
    <w:rsid w:val="00A15BCE"/>
    <w:rsid w:val="00A24509"/>
    <w:rsid w:val="00A252EC"/>
    <w:rsid w:val="00A541E5"/>
    <w:rsid w:val="00A57D44"/>
    <w:rsid w:val="00A73EF2"/>
    <w:rsid w:val="00A74C2F"/>
    <w:rsid w:val="00A75EBF"/>
    <w:rsid w:val="00A86CE5"/>
    <w:rsid w:val="00A9042D"/>
    <w:rsid w:val="00A95C34"/>
    <w:rsid w:val="00AA0462"/>
    <w:rsid w:val="00AA04BA"/>
    <w:rsid w:val="00AA0B96"/>
    <w:rsid w:val="00AA1D88"/>
    <w:rsid w:val="00AA4449"/>
    <w:rsid w:val="00AA4753"/>
    <w:rsid w:val="00AA53C3"/>
    <w:rsid w:val="00AA6226"/>
    <w:rsid w:val="00AB1E34"/>
    <w:rsid w:val="00AB2329"/>
    <w:rsid w:val="00AB2AAA"/>
    <w:rsid w:val="00AB396C"/>
    <w:rsid w:val="00AC0F54"/>
    <w:rsid w:val="00AC204C"/>
    <w:rsid w:val="00AC3678"/>
    <w:rsid w:val="00AC6BB6"/>
    <w:rsid w:val="00AC779F"/>
    <w:rsid w:val="00AE002C"/>
    <w:rsid w:val="00AF720A"/>
    <w:rsid w:val="00B032BC"/>
    <w:rsid w:val="00B12D69"/>
    <w:rsid w:val="00B232B0"/>
    <w:rsid w:val="00B2347B"/>
    <w:rsid w:val="00B24F48"/>
    <w:rsid w:val="00B258E0"/>
    <w:rsid w:val="00B2726D"/>
    <w:rsid w:val="00B274D5"/>
    <w:rsid w:val="00B33435"/>
    <w:rsid w:val="00B36033"/>
    <w:rsid w:val="00B4568A"/>
    <w:rsid w:val="00B47F0F"/>
    <w:rsid w:val="00B5263A"/>
    <w:rsid w:val="00B536C1"/>
    <w:rsid w:val="00B53775"/>
    <w:rsid w:val="00B540F7"/>
    <w:rsid w:val="00B56654"/>
    <w:rsid w:val="00B60DFD"/>
    <w:rsid w:val="00B62ABA"/>
    <w:rsid w:val="00B77C13"/>
    <w:rsid w:val="00B82F34"/>
    <w:rsid w:val="00B83D10"/>
    <w:rsid w:val="00B87B6C"/>
    <w:rsid w:val="00B921CC"/>
    <w:rsid w:val="00B9248D"/>
    <w:rsid w:val="00B94C46"/>
    <w:rsid w:val="00BB6C34"/>
    <w:rsid w:val="00BC5C8E"/>
    <w:rsid w:val="00BD06A6"/>
    <w:rsid w:val="00BD2596"/>
    <w:rsid w:val="00BD4086"/>
    <w:rsid w:val="00BE433C"/>
    <w:rsid w:val="00BE5976"/>
    <w:rsid w:val="00C02251"/>
    <w:rsid w:val="00C02F8A"/>
    <w:rsid w:val="00C063FD"/>
    <w:rsid w:val="00C07B41"/>
    <w:rsid w:val="00C10CF7"/>
    <w:rsid w:val="00C162E8"/>
    <w:rsid w:val="00C25892"/>
    <w:rsid w:val="00C336F1"/>
    <w:rsid w:val="00C36003"/>
    <w:rsid w:val="00C577EF"/>
    <w:rsid w:val="00C60FD6"/>
    <w:rsid w:val="00C61163"/>
    <w:rsid w:val="00C6215E"/>
    <w:rsid w:val="00C63F2C"/>
    <w:rsid w:val="00C66B10"/>
    <w:rsid w:val="00C71627"/>
    <w:rsid w:val="00C74520"/>
    <w:rsid w:val="00C76766"/>
    <w:rsid w:val="00C77B59"/>
    <w:rsid w:val="00C82273"/>
    <w:rsid w:val="00C86ACA"/>
    <w:rsid w:val="00C97097"/>
    <w:rsid w:val="00CA18F5"/>
    <w:rsid w:val="00CA2550"/>
    <w:rsid w:val="00CA363E"/>
    <w:rsid w:val="00CA7365"/>
    <w:rsid w:val="00CB5C0D"/>
    <w:rsid w:val="00CC22D0"/>
    <w:rsid w:val="00CC5449"/>
    <w:rsid w:val="00CC7F1F"/>
    <w:rsid w:val="00CD6612"/>
    <w:rsid w:val="00CD6742"/>
    <w:rsid w:val="00CE5114"/>
    <w:rsid w:val="00CE70BF"/>
    <w:rsid w:val="00CE7124"/>
    <w:rsid w:val="00CF5D7F"/>
    <w:rsid w:val="00D03859"/>
    <w:rsid w:val="00D06292"/>
    <w:rsid w:val="00D065E0"/>
    <w:rsid w:val="00D13884"/>
    <w:rsid w:val="00D215DF"/>
    <w:rsid w:val="00D33173"/>
    <w:rsid w:val="00D334C7"/>
    <w:rsid w:val="00D34990"/>
    <w:rsid w:val="00D408ED"/>
    <w:rsid w:val="00D43E23"/>
    <w:rsid w:val="00D444AE"/>
    <w:rsid w:val="00D45B87"/>
    <w:rsid w:val="00D56252"/>
    <w:rsid w:val="00D601FF"/>
    <w:rsid w:val="00D61E1C"/>
    <w:rsid w:val="00D66469"/>
    <w:rsid w:val="00D74D7F"/>
    <w:rsid w:val="00D76C11"/>
    <w:rsid w:val="00D8398C"/>
    <w:rsid w:val="00D8704D"/>
    <w:rsid w:val="00D9700E"/>
    <w:rsid w:val="00D97118"/>
    <w:rsid w:val="00D9744E"/>
    <w:rsid w:val="00DB14EF"/>
    <w:rsid w:val="00DB1FBA"/>
    <w:rsid w:val="00DC0979"/>
    <w:rsid w:val="00DC2817"/>
    <w:rsid w:val="00DC40AA"/>
    <w:rsid w:val="00DC4A2A"/>
    <w:rsid w:val="00DC5BEB"/>
    <w:rsid w:val="00DC63DD"/>
    <w:rsid w:val="00DD1B5C"/>
    <w:rsid w:val="00DD6AF8"/>
    <w:rsid w:val="00DF0E4B"/>
    <w:rsid w:val="00DF21AD"/>
    <w:rsid w:val="00DF5E3F"/>
    <w:rsid w:val="00E01726"/>
    <w:rsid w:val="00E04460"/>
    <w:rsid w:val="00E162E5"/>
    <w:rsid w:val="00E21607"/>
    <w:rsid w:val="00E235CF"/>
    <w:rsid w:val="00E31ACC"/>
    <w:rsid w:val="00E34FF3"/>
    <w:rsid w:val="00E36804"/>
    <w:rsid w:val="00E422F7"/>
    <w:rsid w:val="00E475AA"/>
    <w:rsid w:val="00E673D3"/>
    <w:rsid w:val="00E7465B"/>
    <w:rsid w:val="00E75CAA"/>
    <w:rsid w:val="00E81BEA"/>
    <w:rsid w:val="00E84295"/>
    <w:rsid w:val="00E85109"/>
    <w:rsid w:val="00E91C77"/>
    <w:rsid w:val="00E9240A"/>
    <w:rsid w:val="00E9478F"/>
    <w:rsid w:val="00E96CB6"/>
    <w:rsid w:val="00E97BE8"/>
    <w:rsid w:val="00EA02DB"/>
    <w:rsid w:val="00EA222D"/>
    <w:rsid w:val="00EA4141"/>
    <w:rsid w:val="00EA6DDB"/>
    <w:rsid w:val="00EB48C2"/>
    <w:rsid w:val="00EB6485"/>
    <w:rsid w:val="00EC1217"/>
    <w:rsid w:val="00EC372D"/>
    <w:rsid w:val="00EC41A2"/>
    <w:rsid w:val="00ED107C"/>
    <w:rsid w:val="00EE36AE"/>
    <w:rsid w:val="00EF2044"/>
    <w:rsid w:val="00EF2A9D"/>
    <w:rsid w:val="00F06E43"/>
    <w:rsid w:val="00F2041D"/>
    <w:rsid w:val="00F264B6"/>
    <w:rsid w:val="00F27F86"/>
    <w:rsid w:val="00F30F54"/>
    <w:rsid w:val="00F326DF"/>
    <w:rsid w:val="00F35F72"/>
    <w:rsid w:val="00F36C8B"/>
    <w:rsid w:val="00F439C1"/>
    <w:rsid w:val="00F439DB"/>
    <w:rsid w:val="00F50E0A"/>
    <w:rsid w:val="00F542E2"/>
    <w:rsid w:val="00F5720A"/>
    <w:rsid w:val="00F61690"/>
    <w:rsid w:val="00F62101"/>
    <w:rsid w:val="00F6736E"/>
    <w:rsid w:val="00F767F4"/>
    <w:rsid w:val="00F76C7C"/>
    <w:rsid w:val="00F87815"/>
    <w:rsid w:val="00F903B8"/>
    <w:rsid w:val="00F9371F"/>
    <w:rsid w:val="00FA6662"/>
    <w:rsid w:val="00FB1109"/>
    <w:rsid w:val="00FB64DC"/>
    <w:rsid w:val="00FC390E"/>
    <w:rsid w:val="00FD0286"/>
    <w:rsid w:val="00FD2792"/>
    <w:rsid w:val="00FD4863"/>
    <w:rsid w:val="00FD6672"/>
    <w:rsid w:val="00FD6F43"/>
    <w:rsid w:val="00FE1FCB"/>
    <w:rsid w:val="00FE25AA"/>
    <w:rsid w:val="00FF2B23"/>
    <w:rsid w:val="00FF3682"/>
    <w:rsid w:val="00FF436F"/>
    <w:rsid w:val="00FF52C3"/>
    <w:rsid w:val="00FF7F4C"/>
    <w:rsid w:val="01314984"/>
    <w:rsid w:val="01A30737"/>
    <w:rsid w:val="01C1D50B"/>
    <w:rsid w:val="01CD6DF0"/>
    <w:rsid w:val="01D8052A"/>
    <w:rsid w:val="02240C78"/>
    <w:rsid w:val="02B5E60D"/>
    <w:rsid w:val="02EBC9B2"/>
    <w:rsid w:val="02EF4982"/>
    <w:rsid w:val="03490204"/>
    <w:rsid w:val="03C3988D"/>
    <w:rsid w:val="05E14D76"/>
    <w:rsid w:val="06AA8439"/>
    <w:rsid w:val="0830F3F5"/>
    <w:rsid w:val="08877D56"/>
    <w:rsid w:val="0906A694"/>
    <w:rsid w:val="09E71382"/>
    <w:rsid w:val="0A00856C"/>
    <w:rsid w:val="0A0ED75C"/>
    <w:rsid w:val="0A2925D6"/>
    <w:rsid w:val="0A2F1EDA"/>
    <w:rsid w:val="0A800FAD"/>
    <w:rsid w:val="0B65D1B2"/>
    <w:rsid w:val="0C9F70DF"/>
    <w:rsid w:val="0D5A75B4"/>
    <w:rsid w:val="0E5256DB"/>
    <w:rsid w:val="0EAC06EF"/>
    <w:rsid w:val="0F9C4DAD"/>
    <w:rsid w:val="11013F55"/>
    <w:rsid w:val="15021150"/>
    <w:rsid w:val="153E3F55"/>
    <w:rsid w:val="1613F304"/>
    <w:rsid w:val="163FA84A"/>
    <w:rsid w:val="1682FF21"/>
    <w:rsid w:val="17938A5D"/>
    <w:rsid w:val="179FF161"/>
    <w:rsid w:val="182A7466"/>
    <w:rsid w:val="18301860"/>
    <w:rsid w:val="183BE8D7"/>
    <w:rsid w:val="194B922B"/>
    <w:rsid w:val="19702AFB"/>
    <w:rsid w:val="1A8EE741"/>
    <w:rsid w:val="1ADA18E6"/>
    <w:rsid w:val="1ADB48A8"/>
    <w:rsid w:val="1BA5F93E"/>
    <w:rsid w:val="1CA50813"/>
    <w:rsid w:val="1D3481EF"/>
    <w:rsid w:val="1D7BA609"/>
    <w:rsid w:val="1DD43F51"/>
    <w:rsid w:val="1DE3DE49"/>
    <w:rsid w:val="1FBE00A4"/>
    <w:rsid w:val="1FCAF45E"/>
    <w:rsid w:val="21574511"/>
    <w:rsid w:val="21820F36"/>
    <w:rsid w:val="21BDE1A9"/>
    <w:rsid w:val="21CE49B6"/>
    <w:rsid w:val="2300C9EA"/>
    <w:rsid w:val="24DD391B"/>
    <w:rsid w:val="25AD6656"/>
    <w:rsid w:val="270F55B9"/>
    <w:rsid w:val="28661035"/>
    <w:rsid w:val="289002C4"/>
    <w:rsid w:val="29584B94"/>
    <w:rsid w:val="2A9145D4"/>
    <w:rsid w:val="2AB984E2"/>
    <w:rsid w:val="2ABDA936"/>
    <w:rsid w:val="2CAF2D62"/>
    <w:rsid w:val="2CC872F7"/>
    <w:rsid w:val="2D8E2651"/>
    <w:rsid w:val="2DAFC49A"/>
    <w:rsid w:val="2E950A36"/>
    <w:rsid w:val="2EA1335E"/>
    <w:rsid w:val="2FF77A85"/>
    <w:rsid w:val="30D36B4A"/>
    <w:rsid w:val="30D3A1B6"/>
    <w:rsid w:val="30E13F36"/>
    <w:rsid w:val="311FCAF9"/>
    <w:rsid w:val="3228B788"/>
    <w:rsid w:val="331FF5B4"/>
    <w:rsid w:val="33EC0790"/>
    <w:rsid w:val="33FA25A1"/>
    <w:rsid w:val="3401EE90"/>
    <w:rsid w:val="34633B34"/>
    <w:rsid w:val="34FD8BEC"/>
    <w:rsid w:val="366BEF08"/>
    <w:rsid w:val="36B2460D"/>
    <w:rsid w:val="378286AF"/>
    <w:rsid w:val="37A25462"/>
    <w:rsid w:val="3C8D1D24"/>
    <w:rsid w:val="3D0F31E8"/>
    <w:rsid w:val="3D4203F7"/>
    <w:rsid w:val="3E88CCFB"/>
    <w:rsid w:val="3E952979"/>
    <w:rsid w:val="3EF562A1"/>
    <w:rsid w:val="3FC96BFB"/>
    <w:rsid w:val="402B3C87"/>
    <w:rsid w:val="40930BE8"/>
    <w:rsid w:val="40BED8E8"/>
    <w:rsid w:val="411E3E74"/>
    <w:rsid w:val="42203B1C"/>
    <w:rsid w:val="43053CCA"/>
    <w:rsid w:val="43860948"/>
    <w:rsid w:val="45165206"/>
    <w:rsid w:val="46495A1F"/>
    <w:rsid w:val="48C6569C"/>
    <w:rsid w:val="48D0598A"/>
    <w:rsid w:val="492D5384"/>
    <w:rsid w:val="49C5E7AD"/>
    <w:rsid w:val="49DF9300"/>
    <w:rsid w:val="4A1F13B3"/>
    <w:rsid w:val="4A222511"/>
    <w:rsid w:val="4A553051"/>
    <w:rsid w:val="4B19C272"/>
    <w:rsid w:val="4C31E1A2"/>
    <w:rsid w:val="4C38841E"/>
    <w:rsid w:val="4C5CA5DE"/>
    <w:rsid w:val="4D48F03F"/>
    <w:rsid w:val="4DB574C3"/>
    <w:rsid w:val="4E805EC0"/>
    <w:rsid w:val="4ED3EC7B"/>
    <w:rsid w:val="4F9D7DBE"/>
    <w:rsid w:val="504BAFBD"/>
    <w:rsid w:val="5105566D"/>
    <w:rsid w:val="51FEB5C4"/>
    <w:rsid w:val="5201FF84"/>
    <w:rsid w:val="524CB7E4"/>
    <w:rsid w:val="5417DB21"/>
    <w:rsid w:val="5458236E"/>
    <w:rsid w:val="5471240A"/>
    <w:rsid w:val="551D5F49"/>
    <w:rsid w:val="5599D196"/>
    <w:rsid w:val="56BEAEFA"/>
    <w:rsid w:val="56E17067"/>
    <w:rsid w:val="571B6DA2"/>
    <w:rsid w:val="588E296B"/>
    <w:rsid w:val="58BCD27E"/>
    <w:rsid w:val="59471891"/>
    <w:rsid w:val="59518A1C"/>
    <w:rsid w:val="5A0A9DAA"/>
    <w:rsid w:val="5A5E1251"/>
    <w:rsid w:val="5BE19AF5"/>
    <w:rsid w:val="5DCF7F7D"/>
    <w:rsid w:val="5ED2E5E8"/>
    <w:rsid w:val="5F42CF47"/>
    <w:rsid w:val="5FA922E7"/>
    <w:rsid w:val="6100BE34"/>
    <w:rsid w:val="6128C7D7"/>
    <w:rsid w:val="6173396F"/>
    <w:rsid w:val="6286BB3F"/>
    <w:rsid w:val="62898BB9"/>
    <w:rsid w:val="62A0842D"/>
    <w:rsid w:val="62F9DEDB"/>
    <w:rsid w:val="63386C07"/>
    <w:rsid w:val="63523067"/>
    <w:rsid w:val="63E452FD"/>
    <w:rsid w:val="652AECDA"/>
    <w:rsid w:val="659657C7"/>
    <w:rsid w:val="667A6468"/>
    <w:rsid w:val="671F633C"/>
    <w:rsid w:val="67DBB67B"/>
    <w:rsid w:val="67E36963"/>
    <w:rsid w:val="68856396"/>
    <w:rsid w:val="698BE01B"/>
    <w:rsid w:val="6A7E572E"/>
    <w:rsid w:val="6AD8E21E"/>
    <w:rsid w:val="6B66524B"/>
    <w:rsid w:val="6BABC292"/>
    <w:rsid w:val="6D0955CE"/>
    <w:rsid w:val="6D1AE36E"/>
    <w:rsid w:val="6DD6FF6A"/>
    <w:rsid w:val="6E412D2E"/>
    <w:rsid w:val="6F1F197E"/>
    <w:rsid w:val="6F519812"/>
    <w:rsid w:val="6F77A725"/>
    <w:rsid w:val="707043FD"/>
    <w:rsid w:val="716AD22A"/>
    <w:rsid w:val="722C6EBA"/>
    <w:rsid w:val="72757B96"/>
    <w:rsid w:val="7292C888"/>
    <w:rsid w:val="72DFE109"/>
    <w:rsid w:val="73492F09"/>
    <w:rsid w:val="73799F93"/>
    <w:rsid w:val="7384C122"/>
    <w:rsid w:val="745A77A8"/>
    <w:rsid w:val="74E69362"/>
    <w:rsid w:val="74F7F91E"/>
    <w:rsid w:val="75600C18"/>
    <w:rsid w:val="75735DE9"/>
    <w:rsid w:val="758D6E38"/>
    <w:rsid w:val="75A638A0"/>
    <w:rsid w:val="7637F857"/>
    <w:rsid w:val="76F014D1"/>
    <w:rsid w:val="77148158"/>
    <w:rsid w:val="78EB06FC"/>
    <w:rsid w:val="79FF2E17"/>
    <w:rsid w:val="7A3E31D9"/>
    <w:rsid w:val="7A698039"/>
    <w:rsid w:val="7AC81937"/>
    <w:rsid w:val="7BC2BE13"/>
    <w:rsid w:val="7C9B08B7"/>
    <w:rsid w:val="7E2DED71"/>
    <w:rsid w:val="7E4D7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880D"/>
  <w15:chartTrackingRefBased/>
  <w15:docId w15:val="{863AD323-1DD5-43A7-A7C8-CBEBD0EA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2B0"/>
    <w:rPr>
      <w:rFonts w:eastAsiaTheme="majorEastAsia" w:cstheme="majorBidi"/>
      <w:color w:val="272727" w:themeColor="text1" w:themeTint="D8"/>
    </w:rPr>
  </w:style>
  <w:style w:type="paragraph" w:styleId="Title">
    <w:name w:val="Title"/>
    <w:basedOn w:val="Normal"/>
    <w:next w:val="Normal"/>
    <w:link w:val="TitleChar"/>
    <w:uiPriority w:val="10"/>
    <w:qFormat/>
    <w:rsid w:val="00B23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2B0"/>
    <w:pPr>
      <w:spacing w:before="160"/>
      <w:jc w:val="center"/>
    </w:pPr>
    <w:rPr>
      <w:i/>
      <w:iCs/>
      <w:color w:val="404040" w:themeColor="text1" w:themeTint="BF"/>
    </w:rPr>
  </w:style>
  <w:style w:type="character" w:customStyle="1" w:styleId="QuoteChar">
    <w:name w:val="Quote Char"/>
    <w:basedOn w:val="DefaultParagraphFont"/>
    <w:link w:val="Quote"/>
    <w:uiPriority w:val="29"/>
    <w:rsid w:val="00B232B0"/>
    <w:rPr>
      <w:i/>
      <w:iCs/>
      <w:color w:val="404040" w:themeColor="text1" w:themeTint="BF"/>
    </w:rPr>
  </w:style>
  <w:style w:type="paragraph" w:styleId="ListParagraph">
    <w:name w:val="List Paragraph"/>
    <w:basedOn w:val="Normal"/>
    <w:uiPriority w:val="34"/>
    <w:qFormat/>
    <w:rsid w:val="00B232B0"/>
    <w:pPr>
      <w:ind w:left="720"/>
      <w:contextualSpacing/>
    </w:pPr>
  </w:style>
  <w:style w:type="character" w:styleId="IntenseEmphasis">
    <w:name w:val="Intense Emphasis"/>
    <w:basedOn w:val="DefaultParagraphFont"/>
    <w:uiPriority w:val="21"/>
    <w:qFormat/>
    <w:rsid w:val="00B232B0"/>
    <w:rPr>
      <w:i/>
      <w:iCs/>
      <w:color w:val="0F4761" w:themeColor="accent1" w:themeShade="BF"/>
    </w:rPr>
  </w:style>
  <w:style w:type="paragraph" w:styleId="IntenseQuote">
    <w:name w:val="Intense Quote"/>
    <w:basedOn w:val="Normal"/>
    <w:next w:val="Normal"/>
    <w:link w:val="IntenseQuoteChar"/>
    <w:uiPriority w:val="30"/>
    <w:qFormat/>
    <w:rsid w:val="00B23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2B0"/>
    <w:rPr>
      <w:i/>
      <w:iCs/>
      <w:color w:val="0F4761" w:themeColor="accent1" w:themeShade="BF"/>
    </w:rPr>
  </w:style>
  <w:style w:type="character" w:styleId="IntenseReference">
    <w:name w:val="Intense Reference"/>
    <w:basedOn w:val="DefaultParagraphFont"/>
    <w:uiPriority w:val="32"/>
    <w:qFormat/>
    <w:rsid w:val="00B232B0"/>
    <w:rPr>
      <w:b/>
      <w:bCs/>
      <w:smallCaps/>
      <w:color w:val="0F4761" w:themeColor="accent1" w:themeShade="BF"/>
      <w:spacing w:val="5"/>
    </w:rPr>
  </w:style>
  <w:style w:type="character" w:styleId="Hyperlink">
    <w:name w:val="Hyperlink"/>
    <w:basedOn w:val="DefaultParagraphFont"/>
    <w:uiPriority w:val="99"/>
    <w:unhideWhenUsed/>
    <w:rsid w:val="00CE70BF"/>
    <w:rPr>
      <w:color w:val="467886" w:themeColor="hyperlink"/>
      <w:u w:val="single"/>
    </w:rPr>
  </w:style>
  <w:style w:type="character" w:styleId="UnresolvedMention">
    <w:name w:val="Unresolved Mention"/>
    <w:basedOn w:val="DefaultParagraphFont"/>
    <w:uiPriority w:val="99"/>
    <w:semiHidden/>
    <w:unhideWhenUsed/>
    <w:rsid w:val="00CE70BF"/>
    <w:rPr>
      <w:color w:val="605E5C"/>
      <w:shd w:val="clear" w:color="auto" w:fill="E1DFDD"/>
    </w:rPr>
  </w:style>
  <w:style w:type="table" w:styleId="TableGrid">
    <w:name w:val="Table Grid"/>
    <w:basedOn w:val="TableNormal"/>
    <w:uiPriority w:val="39"/>
    <w:rsid w:val="0031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5892"/>
    <w:rPr>
      <w:sz w:val="16"/>
      <w:szCs w:val="16"/>
    </w:rPr>
  </w:style>
  <w:style w:type="paragraph" w:styleId="CommentText">
    <w:name w:val="annotation text"/>
    <w:basedOn w:val="Normal"/>
    <w:link w:val="CommentTextChar"/>
    <w:uiPriority w:val="99"/>
    <w:unhideWhenUsed/>
    <w:rsid w:val="00C25892"/>
    <w:pPr>
      <w:spacing w:line="240" w:lineRule="auto"/>
    </w:pPr>
    <w:rPr>
      <w:sz w:val="20"/>
      <w:szCs w:val="20"/>
    </w:rPr>
  </w:style>
  <w:style w:type="character" w:customStyle="1" w:styleId="CommentTextChar">
    <w:name w:val="Comment Text Char"/>
    <w:basedOn w:val="DefaultParagraphFont"/>
    <w:link w:val="CommentText"/>
    <w:uiPriority w:val="99"/>
    <w:rsid w:val="00C25892"/>
    <w:rPr>
      <w:sz w:val="20"/>
      <w:szCs w:val="20"/>
    </w:rPr>
  </w:style>
  <w:style w:type="paragraph" w:styleId="CommentSubject">
    <w:name w:val="annotation subject"/>
    <w:basedOn w:val="CommentText"/>
    <w:next w:val="CommentText"/>
    <w:link w:val="CommentSubjectChar"/>
    <w:uiPriority w:val="99"/>
    <w:semiHidden/>
    <w:unhideWhenUsed/>
    <w:rsid w:val="00C25892"/>
    <w:rPr>
      <w:b/>
      <w:bCs/>
    </w:rPr>
  </w:style>
  <w:style w:type="character" w:customStyle="1" w:styleId="CommentSubjectChar">
    <w:name w:val="Comment Subject Char"/>
    <w:basedOn w:val="CommentTextChar"/>
    <w:link w:val="CommentSubject"/>
    <w:uiPriority w:val="99"/>
    <w:semiHidden/>
    <w:rsid w:val="00C25892"/>
    <w:rPr>
      <w:b/>
      <w:bCs/>
      <w:sz w:val="20"/>
      <w:szCs w:val="20"/>
    </w:rPr>
  </w:style>
  <w:style w:type="paragraph" w:styleId="Revision">
    <w:name w:val="Revision"/>
    <w:hidden/>
    <w:uiPriority w:val="99"/>
    <w:semiHidden/>
    <w:rsid w:val="00A73EF2"/>
    <w:pPr>
      <w:spacing w:after="0" w:line="240" w:lineRule="auto"/>
    </w:pPr>
  </w:style>
  <w:style w:type="paragraph" w:styleId="Header">
    <w:name w:val="header"/>
    <w:basedOn w:val="Normal"/>
    <w:link w:val="HeaderChar"/>
    <w:uiPriority w:val="99"/>
    <w:semiHidden/>
    <w:unhideWhenUsed/>
    <w:rsid w:val="008600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00BE"/>
  </w:style>
  <w:style w:type="paragraph" w:styleId="Footer">
    <w:name w:val="footer"/>
    <w:basedOn w:val="Normal"/>
    <w:link w:val="FooterChar"/>
    <w:uiPriority w:val="99"/>
    <w:semiHidden/>
    <w:unhideWhenUsed/>
    <w:rsid w:val="008600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00BE"/>
  </w:style>
  <w:style w:type="paragraph" w:styleId="FootnoteText">
    <w:name w:val="footnote text"/>
    <w:basedOn w:val="Normal"/>
    <w:link w:val="FootnoteTextChar"/>
    <w:uiPriority w:val="99"/>
    <w:semiHidden/>
    <w:unhideWhenUsed/>
    <w:rsid w:val="00860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0BE"/>
    <w:rPr>
      <w:sz w:val="20"/>
      <w:szCs w:val="20"/>
    </w:rPr>
  </w:style>
  <w:style w:type="character" w:styleId="FootnoteReference">
    <w:name w:val="footnote reference"/>
    <w:basedOn w:val="DefaultParagraphFont"/>
    <w:uiPriority w:val="99"/>
    <w:semiHidden/>
    <w:unhideWhenUsed/>
    <w:rsid w:val="008600BE"/>
    <w:rPr>
      <w:vertAlign w:val="superscript"/>
    </w:rPr>
  </w:style>
  <w:style w:type="character" w:styleId="Mention">
    <w:name w:val="Mention"/>
    <w:basedOn w:val="DefaultParagraphFont"/>
    <w:uiPriority w:val="99"/>
    <w:unhideWhenUsed/>
    <w:rsid w:val="007944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CCaseMgmt@semprautiliti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blic.Advisor@cpuc.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kw\AppData\Local\Microsoft\Windows\INetCache\Content.Outlook\BSCA8SJF\apps.cpuc.ca.gov\c\AXXXXXX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786B9FA4370141B65974482BA8AB61" ma:contentTypeVersion="19" ma:contentTypeDescription="Create a new document." ma:contentTypeScope="" ma:versionID="c58e5ee239d62a4654d186e72e059171">
  <xsd:schema xmlns:xsd="http://www.w3.org/2001/XMLSchema" xmlns:xs="http://www.w3.org/2001/XMLSchema" xmlns:p="http://schemas.microsoft.com/office/2006/metadata/properties" xmlns:ns2="57bc06a4-be90-4270-adeb-72dff3d90fbf" xmlns:ns3="6996a22d-2c4c-4c46-8266-62bff0c00b3b" targetNamespace="http://schemas.microsoft.com/office/2006/metadata/properties" ma:root="true" ma:fieldsID="c1bdad7fefff6350a984da54372a7afc" ns2:_="" ns3:_="">
    <xsd:import namespace="57bc06a4-be90-4270-adeb-72dff3d90fbf"/>
    <xsd:import namespace="6996a22d-2c4c-4c46-8266-62bff0c00b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c06a4-be90-4270-adeb-72dff3d90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scription="Status of the document" ma:format="Dropdown" ma:internalName="Status">
      <xsd:simpleType>
        <xsd:restriction base="dms:Choice">
          <xsd:enumeration value="Approved Legal"/>
          <xsd:enumeration value="Chuck Approval Required"/>
          <xsd:enumeration value="CM Approved"/>
          <xsd:enumeration value="Complete - Ready to Post"/>
          <xsd:enumeration value="Delete"/>
          <xsd:enumeration value="Do Not Send"/>
          <xsd:enumeration value="Final"/>
          <xsd:enumeration value="In Progress"/>
          <xsd:enumeration value="Ready for CM Review"/>
          <xsd:enumeration value="Response Pending"/>
          <xsd:enumeration value="Supplemental"/>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96a22d-2c4c-4c46-8266-62bff0c00b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0a87e5-e773-43ee-a32a-25f1b6bab685}" ma:internalName="TaxCatchAll" ma:showField="CatchAllData" ma:web="6996a22d-2c4c-4c46-8266-62bff0c00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bc06a4-be90-4270-adeb-72dff3d90fbf">
      <Terms xmlns="http://schemas.microsoft.com/office/infopath/2007/PartnerControls"/>
    </lcf76f155ced4ddcb4097134ff3c332f>
    <TaxCatchAll xmlns="6996a22d-2c4c-4c46-8266-62bff0c00b3b" xsi:nil="true"/>
    <Status xmlns="57bc06a4-be90-4270-adeb-72dff3d90fbf" xsi:nil="true"/>
  </documentManagement>
</p:properties>
</file>

<file path=customXml/itemProps1.xml><?xml version="1.0" encoding="utf-8"?>
<ds:datastoreItem xmlns:ds="http://schemas.openxmlformats.org/officeDocument/2006/customXml" ds:itemID="{E9491E47-BF18-491C-AF5E-1C842CC48229}">
  <ds:schemaRefs>
    <ds:schemaRef ds:uri="http://schemas.openxmlformats.org/officeDocument/2006/bibliography"/>
  </ds:schemaRefs>
</ds:datastoreItem>
</file>

<file path=customXml/itemProps2.xml><?xml version="1.0" encoding="utf-8"?>
<ds:datastoreItem xmlns:ds="http://schemas.openxmlformats.org/officeDocument/2006/customXml" ds:itemID="{64F3FB10-DB68-43C0-B23C-5613286BC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c06a4-be90-4270-adeb-72dff3d90fbf"/>
    <ds:schemaRef ds:uri="6996a22d-2c4c-4c46-8266-62bff0c00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64799-4F39-4EA1-B29A-CA0DCA5FAD5E}">
  <ds:schemaRefs>
    <ds:schemaRef ds:uri="http://schemas.microsoft.com/sharepoint/v3/contenttype/forms"/>
  </ds:schemaRefs>
</ds:datastoreItem>
</file>

<file path=customXml/itemProps4.xml><?xml version="1.0" encoding="utf-8"?>
<ds:datastoreItem xmlns:ds="http://schemas.openxmlformats.org/officeDocument/2006/customXml" ds:itemID="{40C8AC5F-9D85-4662-BB8F-D9A94ACA7A8E}">
  <ds:schemaRefs>
    <ds:schemaRef ds:uri="http://schemas.microsoft.com/office/2006/metadata/properties"/>
    <ds:schemaRef ds:uri="http://schemas.microsoft.com/office/infopath/2007/PartnerControls"/>
    <ds:schemaRef ds:uri="57bc06a4-be90-4270-adeb-72dff3d90fbf"/>
    <ds:schemaRef ds:uri="6996a22d-2c4c-4c46-8266-62bff0c00b3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3371</Characters>
  <Application>Microsoft Office Word</Application>
  <DocSecurity>0</DocSecurity>
  <Lines>124</Lines>
  <Paragraphs>90</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Eric</dc:creator>
  <cp:keywords/>
  <dc:description/>
  <cp:lastModifiedBy>Rogelio Camacho</cp:lastModifiedBy>
  <cp:revision>2</cp:revision>
  <dcterms:created xsi:type="dcterms:W3CDTF">2026-06-23T14:36:00Z</dcterms:created>
  <dcterms:modified xsi:type="dcterms:W3CDTF">2026-06-23T14:36:00Z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0x010100D6786B9FA4370141B65974482BA8AB61</vt:lpwstr>
  </property>
  <property fmtid="{D5CDD505-2E9C-101B-9397-08002B2CF9AE}" pid="3" name="MediaServiceImageTags">
    <vt:lpwstr/>
  </property>
  <property fmtid="{D5CDD505-2E9C-101B-9397-08002B2CF9AE}" pid="4" name="MSIP_Label_cd97076e-e5a9-49b1-9873-62b6e38f493d_Enabled">
    <vt:lpwstr>true</vt:lpwstr>
  </property>
  <property fmtid="{D5CDD505-2E9C-101B-9397-08002B2CF9AE}" pid="5" name="MSIP_Label_cd97076e-e5a9-49b1-9873-62b6e38f493d_SetDate">
    <vt:lpwstr>2026-05-24T00:50:07Z</vt:lpwstr>
  </property>
  <property fmtid="{D5CDD505-2E9C-101B-9397-08002B2CF9AE}" pid="6" name="MSIP_Label_cd97076e-e5a9-49b1-9873-62b6e38f493d_Method">
    <vt:lpwstr>Standard</vt:lpwstr>
  </property>
  <property fmtid="{D5CDD505-2E9C-101B-9397-08002B2CF9AE}" pid="7" name="MSIP_Label_cd97076e-e5a9-49b1-9873-62b6e38f493d_Name">
    <vt:lpwstr>IP-Internal</vt:lpwstr>
  </property>
  <property fmtid="{D5CDD505-2E9C-101B-9397-08002B2CF9AE}" pid="8" name="MSIP_Label_cd97076e-e5a9-49b1-9873-62b6e38f493d_SiteId">
    <vt:lpwstr>a2e7980c-11ea-4838-8f1a-2f497d8c4072</vt:lpwstr>
  </property>
  <property fmtid="{D5CDD505-2E9C-101B-9397-08002B2CF9AE}" pid="9" name="MSIP_Label_cd97076e-e5a9-49b1-9873-62b6e38f493d_ActionId">
    <vt:lpwstr>7c38c63b-bada-46cf-9232-a5333b042eed</vt:lpwstr>
  </property>
  <property fmtid="{D5CDD505-2E9C-101B-9397-08002B2CF9AE}" pid="10" name="MSIP_Label_cd97076e-e5a9-49b1-9873-62b6e38f493d_ContentBits">
    <vt:lpwstr>0</vt:lpwstr>
  </property>
  <property fmtid="{D5CDD505-2E9C-101B-9397-08002B2CF9AE}" pid="11" name="MSIP_Label_cd97076e-e5a9-49b1-9873-62b6e38f493d_Tag">
    <vt:lpwstr>10, 3, 0, 1</vt:lpwstr>
  </property>
</Properties>
</file>